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9"/>
        <w:spacing w:after="0" w:before="0"/>
        <w:ind w:hanging="0" w:left="0" w:right="0"/>
        <w:contextualSpacing w:val="false"/>
      </w:pPr>
      <w:bookmarkStart w:id="0" w:name="_GoBack"/>
      <w:bookmarkStart w:id="1" w:name="_GoBack"/>
      <w:bookmarkEnd w:id="1"/>
      <w:r>
        <w:rPr/>
      </w:r>
    </w:p>
    <w:p>
      <w:pPr>
        <w:pStyle w:val="style39"/>
        <w:spacing w:after="0" w:before="0"/>
        <w:ind w:hanging="0" w:left="0" w:right="0"/>
        <w:contextualSpacing w:val="false"/>
        <w:jc w:val="center"/>
      </w:pPr>
      <w:bookmarkStart w:id="2" w:name="_Toc183324521"/>
      <w:bookmarkEnd w:id="2"/>
      <w:r>
        <w:rPr>
          <w:rFonts w:cs="Arial"/>
          <w:b/>
          <w:sz w:val="28"/>
          <w:szCs w:val="28"/>
          <w:u w:val="single"/>
        </w:rPr>
        <w:t>PROJETO BÁSICO</w:t>
      </w:r>
    </w:p>
    <w:p>
      <w:pPr>
        <w:pStyle w:val="style39"/>
        <w:spacing w:after="0" w:before="0"/>
        <w:ind w:hanging="0" w:left="0" w:right="0"/>
        <w:contextualSpacing w:val="false"/>
        <w:jc w:val="center"/>
      </w:pPr>
      <w:r>
        <w:rPr>
          <w:sz w:val="28"/>
          <w:szCs w:val="28"/>
        </w:rPr>
        <w:t>ANEXO X</w:t>
      </w:r>
    </w:p>
    <w:p>
      <w:pPr>
        <w:pStyle w:val="style1"/>
        <w:numPr>
          <w:ilvl w:val="0"/>
          <w:numId w:val="2"/>
        </w:numPr>
        <w:spacing w:after="0" w:before="0" w:line="360" w:lineRule="auto"/>
        <w:ind w:hanging="360" w:left="0" w:right="0"/>
        <w:contextualSpacing w:val="false"/>
        <w:jc w:val="both"/>
      </w:pPr>
      <w:bookmarkStart w:id="3" w:name="_Toc273265003"/>
      <w:bookmarkStart w:id="4" w:name="_Toc273265227"/>
      <w:bookmarkStart w:id="5" w:name="_Toc273265365"/>
      <w:bookmarkStart w:id="6" w:name="_Toc273277744"/>
      <w:bookmarkEnd w:id="3"/>
      <w:bookmarkEnd w:id="4"/>
      <w:bookmarkEnd w:id="5"/>
      <w:bookmarkEnd w:id="6"/>
      <w:r>
        <w:rPr>
          <w:rFonts w:ascii="Arial" w:cs="Arial" w:hAnsi="Arial"/>
          <w:sz w:val="24"/>
          <w:szCs w:val="24"/>
        </w:rPr>
        <w:t>PREÂMBULO</w:t>
      </w:r>
    </w:p>
    <w:p>
      <w:pPr>
        <w:pStyle w:val="style39"/>
        <w:keepNext/>
        <w:spacing w:after="0" w:before="0"/>
        <w:ind w:firstLine="708" w:left="0" w:right="0"/>
        <w:contextualSpacing w:val="false"/>
      </w:pPr>
      <w:r>
        <w:rPr/>
      </w:r>
    </w:p>
    <w:p>
      <w:pPr>
        <w:pStyle w:val="style39"/>
        <w:keepNext/>
        <w:spacing w:after="0" w:before="0"/>
        <w:ind w:firstLine="708" w:left="0" w:right="0"/>
        <w:contextualSpacing w:val="false"/>
      </w:pPr>
      <w:r>
        <w:rPr>
          <w:rFonts w:cs="Arial"/>
          <w:color w:val="000000"/>
          <w:sz w:val="24"/>
          <w:szCs w:val="24"/>
        </w:rPr>
        <w:t xml:space="preserve">Em face do que estatui a alínea “e”, inciso IX, do artigo 6º da Lei nº 8.666, de 21 de junho de 1993 e, de modo a disponibilizar os subsídios necessários a montagem do plano de licitação e gestão do serviço definido no item </w:t>
      </w:r>
      <w:r>
        <w:rPr/>
        <w:fldChar w:fldCharType="begin"/>
      </w:r>
      <w:r>
        <w:instrText> REF _Ref285306663 \r \h </w:instrText>
      </w:r>
      <w:r>
        <w:fldChar w:fldCharType="separate"/>
      </w:r>
      <w:r>
        <w:t>2</w:t>
      </w:r>
      <w:r>
        <w:fldChar w:fldCharType="end"/>
      </w:r>
      <w:r>
        <w:rPr>
          <w:rFonts w:cs="Arial"/>
          <w:color w:val="000000"/>
          <w:sz w:val="24"/>
          <w:szCs w:val="24"/>
        </w:rPr>
        <w:t>, deste documento, este órgão elaborou o presente Projeto Básico/Plano de Trabalho, nos termos do que preconiza a referida Lei e demais normas regentes.</w:t>
      </w:r>
    </w:p>
    <w:p>
      <w:pPr>
        <w:pStyle w:val="style39"/>
        <w:keepNext/>
        <w:spacing w:after="0" w:before="0"/>
        <w:ind w:firstLine="708" w:left="0" w:right="0"/>
        <w:contextualSpacing w:val="false"/>
      </w:pPr>
      <w:r>
        <w:rPr/>
      </w:r>
    </w:p>
    <w:p>
      <w:pPr>
        <w:pStyle w:val="style1"/>
        <w:numPr>
          <w:ilvl w:val="0"/>
          <w:numId w:val="2"/>
        </w:numPr>
        <w:spacing w:after="0" w:before="0" w:line="360" w:lineRule="auto"/>
        <w:ind w:hanging="360" w:left="0" w:right="0"/>
        <w:contextualSpacing w:val="false"/>
        <w:jc w:val="both"/>
      </w:pPr>
      <w:bookmarkStart w:id="7" w:name="_Toc273265004"/>
      <w:bookmarkStart w:id="8" w:name="_Toc273265228"/>
      <w:bookmarkStart w:id="9" w:name="_Toc273265366"/>
      <w:bookmarkStart w:id="10" w:name="_Toc273277745"/>
      <w:bookmarkStart w:id="11" w:name="_Ref285306663"/>
      <w:bookmarkStart w:id="12" w:name="_Toc183324523"/>
      <w:bookmarkStart w:id="13" w:name="_Toc183345811"/>
      <w:bookmarkStart w:id="14" w:name="_Toc79806186"/>
      <w:bookmarkEnd w:id="7"/>
      <w:bookmarkEnd w:id="8"/>
      <w:bookmarkEnd w:id="9"/>
      <w:bookmarkEnd w:id="10"/>
      <w:bookmarkEnd w:id="11"/>
      <w:bookmarkEnd w:id="12"/>
      <w:bookmarkEnd w:id="13"/>
      <w:bookmarkEnd w:id="14"/>
      <w:r>
        <w:rPr>
          <w:rFonts w:ascii="Arial" w:cs="Arial" w:hAnsi="Arial"/>
          <w:color w:val="000000"/>
          <w:sz w:val="24"/>
          <w:szCs w:val="24"/>
        </w:rPr>
        <w:t>OBJETO</w:t>
      </w:r>
    </w:p>
    <w:p>
      <w:pPr>
        <w:pStyle w:val="style0"/>
      </w:pPr>
      <w:r>
        <w:rPr/>
      </w:r>
    </w:p>
    <w:p>
      <w:pPr>
        <w:pStyle w:val="style0"/>
        <w:spacing w:line="360" w:lineRule="auto"/>
        <w:jc w:val="both"/>
      </w:pPr>
      <w:r>
        <w:rPr>
          <w:rFonts w:ascii="Arial" w:cs="Arial" w:hAnsi="Arial"/>
          <w:color w:val="000000"/>
        </w:rPr>
        <w:tab/>
        <w:t xml:space="preserve">Este Projeto tem por objeto especificar, para fins de execução indireta, </w:t>
      </w:r>
      <w:bookmarkStart w:id="15" w:name="Texto117"/>
      <w:r>
        <w:rPr>
          <w:rFonts w:ascii="Arial" w:cs="Arial" w:hAnsi="Arial"/>
          <w:color w:val="000000"/>
        </w:rPr>
        <w:t xml:space="preserve">a </w:t>
      </w:r>
      <w:bookmarkEnd w:id="15"/>
      <w:r>
        <w:rPr>
          <w:rFonts w:ascii="Arial" w:cs="Arial" w:hAnsi="Arial"/>
          <w:b/>
        </w:rPr>
        <w:t xml:space="preserve">REFORMA DA UNIDADE BÁSICA DE SAÚDE JORGE JOSE DA SILVA, LOCALIZADA RUA "A", QUADRA "M", BAIRRO AMARAL - ITAMBI / RJ, </w:t>
      </w:r>
      <w:r>
        <w:rPr>
          <w:rFonts w:ascii="Arial" w:cs="Arial" w:hAnsi="Arial"/>
        </w:rPr>
        <w:t>com</w:t>
      </w:r>
      <w:r>
        <w:rPr>
          <w:rFonts w:ascii="Arial" w:cs="Arial" w:hAnsi="Arial"/>
          <w:color w:val="000000"/>
        </w:rPr>
        <w:t xml:space="preserve"> fornecimento de mão de obra, materiais e equipamentos.</w:t>
      </w:r>
    </w:p>
    <w:p>
      <w:pPr>
        <w:pStyle w:val="style0"/>
        <w:spacing w:line="360" w:lineRule="auto"/>
        <w:jc w:val="both"/>
      </w:pPr>
      <w:r>
        <w:rPr/>
      </w:r>
    </w:p>
    <w:p>
      <w:pPr>
        <w:pStyle w:val="style1"/>
        <w:numPr>
          <w:ilvl w:val="0"/>
          <w:numId w:val="2"/>
        </w:numPr>
        <w:spacing w:after="0" w:before="0" w:line="360" w:lineRule="auto"/>
        <w:ind w:hanging="360" w:left="0" w:right="0"/>
        <w:contextualSpacing w:val="false"/>
        <w:jc w:val="both"/>
      </w:pPr>
      <w:bookmarkStart w:id="16" w:name="_Toc79806187"/>
      <w:bookmarkStart w:id="17" w:name="_Toc183324524"/>
      <w:bookmarkStart w:id="18" w:name="_Toc183345812"/>
      <w:bookmarkStart w:id="19" w:name="_Toc273265005"/>
      <w:bookmarkStart w:id="20" w:name="_Toc273265229"/>
      <w:bookmarkStart w:id="21" w:name="_Toc273265367"/>
      <w:bookmarkStart w:id="22" w:name="_Toc273277746"/>
      <w:bookmarkEnd w:id="16"/>
      <w:bookmarkEnd w:id="17"/>
      <w:bookmarkEnd w:id="18"/>
      <w:bookmarkEnd w:id="19"/>
      <w:bookmarkEnd w:id="20"/>
      <w:bookmarkEnd w:id="21"/>
      <w:bookmarkEnd w:id="22"/>
      <w:r>
        <w:rPr>
          <w:rFonts w:ascii="Arial" w:cs="Arial" w:hAnsi="Arial"/>
          <w:color w:val="000000"/>
          <w:sz w:val="24"/>
          <w:szCs w:val="24"/>
        </w:rPr>
        <w:t>JUSTIFICATIVA DO PROJETO</w:t>
      </w:r>
    </w:p>
    <w:p>
      <w:pPr>
        <w:pStyle w:val="style39"/>
        <w:spacing w:after="0" w:before="0"/>
        <w:ind w:hanging="0" w:left="0" w:right="0"/>
        <w:contextualSpacing w:val="false"/>
      </w:pPr>
      <w:r>
        <w:rPr/>
      </w:r>
    </w:p>
    <w:p>
      <w:pPr>
        <w:pStyle w:val="style0"/>
        <w:shd w:fill="FFFFFF" w:val="clear"/>
        <w:spacing w:line="360" w:lineRule="auto"/>
        <w:ind w:firstLine="708" w:left="0" w:right="0"/>
        <w:jc w:val="both"/>
        <w:textAlignment w:val="top"/>
      </w:pPr>
      <w:r>
        <w:rPr>
          <w:rFonts w:ascii="Arial" w:cs="Arial" w:hAnsi="Arial"/>
        </w:rPr>
        <w:t>Considerando que a Unidade Básica de Saúde da Família do Bairro Amaral foi construída no ano de 2004 e já não atende as normas vigentes da Portaria 340/2011, necessitando de adequação dos ambientes, tendo em vista o acesso aos usuários na Unidade, bem como o redimensionamento destes ambientes. Solicitamos a reforma da UBS. Para tal, realizou-se visita in loco da equipe da Coordenação e do Setor de Engenharia e Arquitetura da secretaria de Saúde a fim de fazer levantamento das necessidades. Foram levados em consideração a planta do projeto original, vale ressaltar que alguns ambientes foram adaptados pela equipe para atendimento dos usuários.</w:t>
      </w:r>
    </w:p>
    <w:p>
      <w:pPr>
        <w:pStyle w:val="style39"/>
        <w:spacing w:after="0" w:before="0"/>
        <w:ind w:hanging="0" w:left="0" w:right="0"/>
        <w:contextualSpacing w:val="false"/>
      </w:pPr>
      <w:r>
        <w:rPr>
          <w:rFonts w:cs="Arial"/>
          <w:sz w:val="24"/>
          <w:szCs w:val="24"/>
        </w:rPr>
        <w:tab/>
        <w:t xml:space="preserve">Desta forma foi necessária a elaboração de um Projeto Básico de Arquitetura (PBA) contendo tais adequações no edifício para ter os ambientes mínimos ao atendimento de qualidade, prezando pela segurança do paciente.  </w:t>
      </w:r>
    </w:p>
    <w:p>
      <w:pPr>
        <w:pStyle w:val="style39"/>
        <w:spacing w:after="0" w:before="0"/>
        <w:ind w:hanging="0" w:left="0" w:right="0"/>
        <w:contextualSpacing w:val="false"/>
      </w:pPr>
      <w:r>
        <w:rPr/>
      </w:r>
    </w:p>
    <w:p>
      <w:pPr>
        <w:pStyle w:val="style0"/>
        <w:numPr>
          <w:ilvl w:val="0"/>
          <w:numId w:val="2"/>
        </w:numPr>
        <w:tabs/>
        <w:spacing w:line="360" w:lineRule="auto"/>
        <w:ind w:hanging="360" w:left="0" w:right="0"/>
        <w:jc w:val="both"/>
      </w:pPr>
      <w:bookmarkStart w:id="23" w:name="_Toc79806188"/>
      <w:bookmarkStart w:id="24" w:name="_Toc183324525"/>
      <w:bookmarkStart w:id="25" w:name="_Toc183345813"/>
      <w:bookmarkStart w:id="26" w:name="_Toc273265006"/>
      <w:bookmarkStart w:id="27" w:name="_Toc273265230"/>
      <w:bookmarkStart w:id="28" w:name="_Toc273265368"/>
      <w:bookmarkStart w:id="29" w:name="_Toc273277747"/>
      <w:bookmarkEnd w:id="23"/>
      <w:bookmarkEnd w:id="24"/>
      <w:bookmarkEnd w:id="25"/>
      <w:bookmarkEnd w:id="26"/>
      <w:bookmarkEnd w:id="27"/>
      <w:bookmarkEnd w:id="28"/>
      <w:bookmarkEnd w:id="29"/>
      <w:r>
        <w:rPr>
          <w:rFonts w:ascii="Arial" w:cs="Arial" w:hAnsi="Arial"/>
          <w:b/>
          <w:color w:val="000000"/>
        </w:rPr>
        <w:t>ESPECIFICAÇÕES DOS SERVIÇOS</w:t>
      </w:r>
    </w:p>
    <w:p>
      <w:pPr>
        <w:pStyle w:val="style0"/>
        <w:spacing w:line="360" w:lineRule="auto"/>
        <w:ind w:firstLine="708" w:left="0" w:right="0"/>
        <w:jc w:val="both"/>
      </w:pPr>
      <w:r>
        <w:rPr/>
      </w:r>
    </w:p>
    <w:p>
      <w:pPr>
        <w:pStyle w:val="style0"/>
        <w:spacing w:line="360" w:lineRule="auto"/>
        <w:ind w:firstLine="708" w:left="0" w:right="0"/>
        <w:jc w:val="both"/>
      </w:pPr>
      <w:r>
        <w:rPr>
          <w:rFonts w:ascii="Arial" w:cs="Arial" w:hAnsi="Arial"/>
          <w:color w:val="000000"/>
        </w:rPr>
        <w:t>Os serviços a serem realizados são os constantes da planilha orçamentária, em anexo, sendo os</w:t>
      </w:r>
      <w:r>
        <w:rPr>
          <w:rFonts w:ascii="Arial" w:cs="Arial" w:hAnsi="Arial"/>
        </w:rPr>
        <w:t xml:space="preserve"> quantitativos da aludida planilha.</w:t>
      </w:r>
    </w:p>
    <w:p>
      <w:pPr>
        <w:pStyle w:val="style0"/>
        <w:spacing w:line="360" w:lineRule="auto"/>
        <w:jc w:val="both"/>
      </w:pPr>
      <w:r>
        <w:rPr>
          <w:rFonts w:ascii="Arial" w:cs="Arial" w:hAnsi="Arial"/>
          <w:color w:val="000000"/>
        </w:rPr>
        <w:tab/>
      </w:r>
      <w:r>
        <w:rPr>
          <w:rFonts w:ascii="Arial" w:cs="Arial" w:hAnsi="Arial"/>
        </w:rPr>
        <w:t>Para cada serviço realizado no período de medição devidamente aprovado pela fiscalização explicitando a execução destes serviços.</w:t>
      </w:r>
    </w:p>
    <w:p>
      <w:pPr>
        <w:pStyle w:val="style0"/>
        <w:spacing w:line="360" w:lineRule="auto"/>
        <w:jc w:val="both"/>
      </w:pPr>
      <w:r>
        <w:rPr>
          <w:rFonts w:ascii="Arial" w:cs="Arial" w:hAnsi="Arial"/>
          <w:color w:val="000000"/>
        </w:rPr>
        <w:tab/>
        <w:t>Os equipamentos e materiais a serem utilizados na execução dos serviços serão aqueles previstos na planilha orçamentária em anexo.</w:t>
      </w:r>
    </w:p>
    <w:p>
      <w:pPr>
        <w:pStyle w:val="style0"/>
        <w:spacing w:line="360" w:lineRule="auto"/>
        <w:ind w:firstLine="708" w:left="0" w:right="0"/>
        <w:jc w:val="both"/>
      </w:pPr>
      <w:r>
        <w:rPr>
          <w:rFonts w:ascii="Arial" w:cs="Arial" w:hAnsi="Arial"/>
          <w:color w:val="000000"/>
        </w:rPr>
        <w:t>O presente serviço deverá ser contratado e avaliado em suas etapas e os quantitativos apurados deverão compor os serviços realmente realizados e constarão da planilha de me</w:t>
      </w:r>
      <w:bookmarkStart w:id="30" w:name="_Toc79806195"/>
      <w:bookmarkStart w:id="31" w:name="_Toc183324526"/>
      <w:bookmarkStart w:id="32" w:name="_Toc183345814"/>
      <w:bookmarkStart w:id="33" w:name="_Toc273265007"/>
      <w:bookmarkStart w:id="34" w:name="_Toc273265231"/>
      <w:bookmarkStart w:id="35" w:name="_Toc273265369"/>
      <w:bookmarkStart w:id="36" w:name="_Toc273277748"/>
      <w:r>
        <w:rPr>
          <w:rFonts w:ascii="Arial" w:cs="Arial" w:hAnsi="Arial"/>
          <w:color w:val="000000"/>
        </w:rPr>
        <w:t>dição e das ordens de serviços.</w:t>
      </w:r>
    </w:p>
    <w:p>
      <w:pPr>
        <w:pStyle w:val="style39"/>
        <w:spacing w:after="0" w:before="0"/>
        <w:ind w:firstLine="708" w:left="0" w:right="0"/>
        <w:contextualSpacing w:val="false"/>
      </w:pPr>
      <w:r>
        <w:rPr>
          <w:rFonts w:cs="Arial"/>
          <w:sz w:val="24"/>
          <w:szCs w:val="24"/>
        </w:rPr>
        <w:t>Na execução de todos os projetos e serviços a Contratada deverá seguir as Normas Técnicas da Associação Brasileira de Normas Técnicas – ABNT e as normas citadas no decorrer destas Especificações.</w:t>
      </w:r>
    </w:p>
    <w:p>
      <w:pPr>
        <w:pStyle w:val="style39"/>
        <w:spacing w:after="0" w:before="0"/>
        <w:ind w:firstLine="708" w:left="0" w:right="0"/>
        <w:contextualSpacing w:val="false"/>
      </w:pPr>
      <w:r>
        <w:rPr>
          <w:rFonts w:cs="Arial"/>
          <w:sz w:val="24"/>
          <w:szCs w:val="24"/>
        </w:rPr>
        <w:t>A execução de todos os serviços obedecerá rigorosamente às indicações constantes no projeto, conforme plantas, e o constituem, além das prescrições contidas neste memorial, e demais documentos integrantes do contrato.</w:t>
      </w:r>
    </w:p>
    <w:p>
      <w:pPr>
        <w:pStyle w:val="style0"/>
        <w:spacing w:line="360" w:lineRule="auto"/>
        <w:jc w:val="both"/>
      </w:pPr>
      <w:r>
        <w:rPr/>
      </w:r>
    </w:p>
    <w:p>
      <w:pPr>
        <w:pStyle w:val="style38"/>
        <w:numPr>
          <w:ilvl w:val="0"/>
          <w:numId w:val="2"/>
        </w:numPr>
        <w:tabs/>
        <w:spacing w:after="0" w:before="0" w:line="360" w:lineRule="auto"/>
        <w:ind w:hanging="360" w:left="0" w:right="0"/>
        <w:contextualSpacing w:val="false"/>
        <w:jc w:val="both"/>
      </w:pPr>
      <w:r>
        <w:rPr>
          <w:rFonts w:ascii="Arial" w:cs="Arial" w:eastAsia="Times New Roman" w:hAnsi="Arial"/>
          <w:b/>
          <w:bCs/>
          <w:color w:val="000000"/>
          <w:sz w:val="24"/>
          <w:szCs w:val="24"/>
          <w:lang w:eastAsia="pt-BR"/>
        </w:rPr>
        <w:t>DO REGIME DE EXECUÇÃO CONTRATUAL</w:t>
      </w:r>
      <w:bookmarkEnd w:id="30"/>
      <w:bookmarkEnd w:id="31"/>
      <w:bookmarkEnd w:id="32"/>
      <w:bookmarkEnd w:id="33"/>
      <w:bookmarkEnd w:id="34"/>
      <w:bookmarkEnd w:id="35"/>
      <w:bookmarkEnd w:id="36"/>
      <w:r>
        <w:rPr>
          <w:rFonts w:ascii="Arial" w:cs="Arial" w:hAnsi="Arial"/>
          <w:color w:val="000000"/>
          <w:sz w:val="24"/>
          <w:szCs w:val="24"/>
        </w:rPr>
        <w:tab/>
      </w:r>
    </w:p>
    <w:p>
      <w:pPr>
        <w:pStyle w:val="style38"/>
        <w:spacing w:after="0" w:before="0" w:line="360" w:lineRule="auto"/>
        <w:ind w:hanging="0" w:left="0" w:right="0"/>
        <w:contextualSpacing w:val="false"/>
        <w:jc w:val="both"/>
      </w:pPr>
      <w:r>
        <w:rPr/>
      </w:r>
    </w:p>
    <w:p>
      <w:pPr>
        <w:pStyle w:val="style38"/>
        <w:spacing w:after="0" w:before="0" w:line="360" w:lineRule="auto"/>
        <w:ind w:firstLine="708" w:left="0" w:right="0"/>
        <w:contextualSpacing w:val="false"/>
        <w:jc w:val="both"/>
      </w:pPr>
      <w:r>
        <w:rPr>
          <w:rFonts w:ascii="Arial" w:cs="Arial" w:hAnsi="Arial"/>
          <w:color w:val="000000"/>
          <w:sz w:val="24"/>
          <w:szCs w:val="24"/>
        </w:rPr>
        <w:t xml:space="preserve">De modo a atender ao que dispõe o art. 40, </w:t>
      </w:r>
      <w:r>
        <w:rPr>
          <w:rFonts w:ascii="Arial" w:cs="Arial" w:hAnsi="Arial"/>
          <w:i/>
          <w:color w:val="000000"/>
          <w:sz w:val="24"/>
          <w:szCs w:val="24"/>
        </w:rPr>
        <w:t>caput</w:t>
      </w:r>
      <w:r>
        <w:rPr>
          <w:rFonts w:ascii="Arial" w:cs="Arial" w:hAnsi="Arial"/>
          <w:color w:val="000000"/>
          <w:sz w:val="24"/>
          <w:szCs w:val="24"/>
        </w:rPr>
        <w:t>, combinado com a alínea “e”, inciso IX, art. 6º da Lei Nacional nº 8.666/93, fica estabelecido que o Contrato que decorrer deste Projeto Básico deverá observar o Regime de Execução de acordo com o Cronograma Físico-Financeiro.</w:t>
      </w:r>
    </w:p>
    <w:p>
      <w:pPr>
        <w:pStyle w:val="style1"/>
        <w:numPr>
          <w:ilvl w:val="0"/>
          <w:numId w:val="2"/>
        </w:numPr>
        <w:spacing w:after="0" w:before="0" w:line="360" w:lineRule="auto"/>
        <w:ind w:hanging="360" w:left="0" w:right="0"/>
        <w:contextualSpacing w:val="false"/>
        <w:jc w:val="both"/>
      </w:pPr>
      <w:bookmarkStart w:id="37" w:name="_Toc79806196"/>
      <w:bookmarkStart w:id="38" w:name="_Toc183324527"/>
      <w:bookmarkStart w:id="39" w:name="_Toc183345815"/>
      <w:bookmarkStart w:id="40" w:name="_Toc273265008"/>
      <w:bookmarkStart w:id="41" w:name="_Toc273265232"/>
      <w:bookmarkStart w:id="42" w:name="_Toc273265370"/>
      <w:bookmarkStart w:id="43" w:name="_Toc273277749"/>
      <w:bookmarkEnd w:id="37"/>
      <w:bookmarkEnd w:id="38"/>
      <w:bookmarkEnd w:id="39"/>
      <w:bookmarkEnd w:id="40"/>
      <w:bookmarkEnd w:id="41"/>
      <w:bookmarkEnd w:id="42"/>
      <w:bookmarkEnd w:id="43"/>
      <w:r>
        <w:rPr>
          <w:rFonts w:ascii="Arial" w:cs="Arial" w:hAnsi="Arial"/>
          <w:color w:val="000000"/>
          <w:sz w:val="24"/>
          <w:szCs w:val="24"/>
        </w:rPr>
        <w:t>NORMAS DE FISCALIZAÇÃO DA EXECUÇÃO CONTRATUAL</w:t>
      </w:r>
    </w:p>
    <w:p>
      <w:pPr>
        <w:pStyle w:val="style39"/>
        <w:keepNext/>
        <w:spacing w:after="0" w:before="0"/>
        <w:ind w:hanging="0" w:left="0" w:right="0"/>
        <w:contextualSpacing w:val="false"/>
      </w:pPr>
      <w:r>
        <w:rPr>
          <w:rFonts w:cs="Arial"/>
          <w:color w:val="000000"/>
          <w:sz w:val="24"/>
          <w:szCs w:val="24"/>
        </w:rPr>
        <w:tab/>
      </w:r>
    </w:p>
    <w:p>
      <w:pPr>
        <w:pStyle w:val="style39"/>
        <w:keepNext/>
        <w:spacing w:after="0" w:before="0"/>
        <w:ind w:hanging="0" w:left="0" w:right="0"/>
        <w:contextualSpacing w:val="false"/>
      </w:pPr>
      <w:r>
        <w:rPr>
          <w:rFonts w:cs="Arial"/>
          <w:color w:val="000000"/>
          <w:sz w:val="24"/>
          <w:szCs w:val="24"/>
        </w:rPr>
        <w:tab/>
        <w:t xml:space="preserve">De modo a atender ao que dispõe a alínea “e”, inciso IX, art. 6º da Lei Nacional n.º 8.666/93, a fiscalização da execução do contrato que decorrer deste Projeto Básico deverá ser feita por </w:t>
      </w:r>
      <w:r>
        <w:rPr>
          <w:rFonts w:cs="Arial"/>
          <w:b/>
          <w:color w:val="000000"/>
          <w:sz w:val="24"/>
          <w:szCs w:val="24"/>
        </w:rPr>
        <w:t>pelo menos dois servidores</w:t>
      </w:r>
      <w:r>
        <w:rPr>
          <w:rFonts w:cs="Arial"/>
          <w:color w:val="000000"/>
          <w:sz w:val="24"/>
          <w:szCs w:val="24"/>
        </w:rPr>
        <w:t>, designado pelo</w:t>
      </w:r>
      <w:r>
        <w:rPr>
          <w:rFonts w:cs="Arial"/>
          <w:b/>
          <w:color w:val="000000"/>
          <w:sz w:val="24"/>
          <w:szCs w:val="24"/>
        </w:rPr>
        <w:t xml:space="preserve"> Sr. Secretário Municipal de Saúde</w:t>
      </w:r>
      <w:r>
        <w:rPr>
          <w:rFonts w:cs="Arial"/>
          <w:color w:val="000000"/>
          <w:sz w:val="24"/>
          <w:szCs w:val="24"/>
        </w:rPr>
        <w:t>, ao qual competirá:</w:t>
      </w:r>
    </w:p>
    <w:p>
      <w:pPr>
        <w:pStyle w:val="style39"/>
        <w:keepNext/>
        <w:numPr>
          <w:ilvl w:val="0"/>
          <w:numId w:val="3"/>
        </w:numPr>
        <w:tabs/>
        <w:spacing w:after="0" w:before="0"/>
        <w:ind w:hanging="360" w:left="0" w:right="0"/>
        <w:contextualSpacing w:val="false"/>
      </w:pPr>
      <w:r>
        <w:rPr>
          <w:rFonts w:cs="Arial"/>
          <w:color w:val="000000"/>
          <w:sz w:val="24"/>
          <w:szCs w:val="24"/>
        </w:rPr>
        <w:t>Fazer cumprir as especificação e demais condições estabelecidas neste Projeto Básico, no edital e no contrato que vier a ser celebrado;</w:t>
      </w:r>
    </w:p>
    <w:p>
      <w:pPr>
        <w:pStyle w:val="style39"/>
        <w:keepNext/>
        <w:numPr>
          <w:ilvl w:val="0"/>
          <w:numId w:val="3"/>
        </w:numPr>
        <w:tabs/>
        <w:spacing w:after="0" w:before="0"/>
        <w:ind w:hanging="360" w:left="0" w:right="0"/>
        <w:contextualSpacing w:val="false"/>
      </w:pPr>
      <w:r>
        <w:rPr>
          <w:rFonts w:cs="Arial"/>
          <w:color w:val="000000"/>
          <w:sz w:val="24"/>
          <w:szCs w:val="24"/>
        </w:rPr>
        <w:t>Notificar a contratada acerca da prática de infrações que ensejem a aplicação das penas previstas nas sanções administrativas;</w:t>
      </w:r>
    </w:p>
    <w:p>
      <w:pPr>
        <w:pStyle w:val="style39"/>
        <w:keepNext/>
        <w:numPr>
          <w:ilvl w:val="0"/>
          <w:numId w:val="3"/>
        </w:numPr>
        <w:tabs/>
        <w:spacing w:after="0" w:before="0"/>
        <w:ind w:hanging="360" w:left="0" w:right="0"/>
        <w:contextualSpacing w:val="false"/>
      </w:pPr>
      <w:r>
        <w:rPr>
          <w:rFonts w:cs="Arial"/>
          <w:color w:val="000000"/>
          <w:sz w:val="24"/>
          <w:szCs w:val="24"/>
        </w:rPr>
        <w:t>Suspender a execução contratual quando houver motivo que justifique a providência e, conforme o caso, determinar a correção do serviço considerado inadequado;</w:t>
      </w:r>
    </w:p>
    <w:p>
      <w:pPr>
        <w:pStyle w:val="style39"/>
        <w:keepNext/>
        <w:numPr>
          <w:ilvl w:val="0"/>
          <w:numId w:val="3"/>
        </w:numPr>
        <w:tabs/>
        <w:spacing w:after="0" w:before="0"/>
        <w:ind w:hanging="360" w:left="0" w:right="0"/>
        <w:contextualSpacing w:val="false"/>
      </w:pPr>
      <w:r>
        <w:rPr>
          <w:rFonts w:cs="Arial"/>
          <w:color w:val="000000"/>
          <w:sz w:val="24"/>
          <w:szCs w:val="24"/>
        </w:rPr>
        <w:t>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style39"/>
        <w:keepNext/>
        <w:numPr>
          <w:ilvl w:val="0"/>
          <w:numId w:val="3"/>
        </w:numPr>
        <w:tabs/>
        <w:spacing w:after="0" w:before="0"/>
        <w:ind w:hanging="360" w:left="0" w:right="0"/>
        <w:contextualSpacing w:val="false"/>
      </w:pPr>
      <w:r>
        <w:rPr>
          <w:rFonts w:cs="Arial"/>
          <w:color w:val="000000"/>
          <w:sz w:val="24"/>
          <w:szCs w:val="24"/>
        </w:rPr>
        <w:t>Sob pena de responsabilização administrativa, deverá anotar, em diário específico, as ocorrências relativas à execução contrato que vier a ser celebrado, determinando a Contratada, formalmente, o que for necessário à regularização das faltas ou defeitos observados.</w:t>
      </w:r>
    </w:p>
    <w:p>
      <w:pPr>
        <w:pStyle w:val="style39"/>
        <w:keepNext/>
        <w:numPr>
          <w:ilvl w:val="0"/>
          <w:numId w:val="3"/>
        </w:numPr>
        <w:tabs/>
        <w:spacing w:after="0" w:before="0"/>
        <w:ind w:hanging="360" w:left="0" w:right="0"/>
        <w:contextualSpacing w:val="false"/>
      </w:pPr>
      <w:r>
        <w:rPr>
          <w:rFonts w:cs="Arial"/>
          <w:color w:val="000000"/>
          <w:sz w:val="24"/>
          <w:szCs w:val="24"/>
        </w:rPr>
        <w:t>No que exceder à sua competência, comunicar, formalmente, o fato à Autoridade Superior, em tempo hábil, para adoção das medidas cabíveis.</w:t>
      </w:r>
    </w:p>
    <w:p>
      <w:pPr>
        <w:pStyle w:val="style39"/>
        <w:keepNext/>
        <w:spacing w:after="0" w:before="0"/>
        <w:ind w:hanging="0" w:left="0" w:right="0"/>
        <w:contextualSpacing w:val="false"/>
      </w:pPr>
      <w:r>
        <w:rPr>
          <w:rFonts w:cs="Arial"/>
          <w:color w:val="000000"/>
          <w:sz w:val="24"/>
          <w:szCs w:val="24"/>
        </w:rPr>
        <w:tab/>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style39"/>
        <w:keepNext/>
        <w:spacing w:after="0" w:before="0"/>
        <w:ind w:hanging="0" w:left="0" w:right="0"/>
        <w:contextualSpacing w:val="false"/>
      </w:pPr>
      <w:r>
        <w:rPr>
          <w:rFonts w:cs="Arial"/>
          <w:color w:val="000000"/>
          <w:sz w:val="24"/>
          <w:szCs w:val="24"/>
        </w:rPr>
        <w:tab/>
        <w:t>A Contratada deverá, contratualmente, ser obrigada a se submeter a todas as medidas, processos e procedimentos adotados pela Fiscalização.</w:t>
      </w:r>
    </w:p>
    <w:p>
      <w:pPr>
        <w:pStyle w:val="style39"/>
        <w:keepNext/>
        <w:spacing w:after="0" w:before="0"/>
        <w:ind w:hanging="0" w:left="0" w:right="0"/>
        <w:contextualSpacing w:val="false"/>
      </w:pPr>
      <w:r>
        <w:rPr>
          <w:rFonts w:cs="Arial"/>
          <w:color w:val="000000"/>
          <w:sz w:val="24"/>
          <w:szCs w:val="24"/>
        </w:rPr>
        <w:tab/>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pStyle w:val="style39"/>
        <w:keepNext/>
        <w:spacing w:after="0" w:before="0"/>
        <w:ind w:firstLine="708" w:left="0" w:right="0"/>
        <w:contextualSpacing w:val="false"/>
      </w:pPr>
      <w:r>
        <w:rPr>
          <w:rFonts w:cs="Arial"/>
          <w:color w:val="000000"/>
          <w:sz w:val="24"/>
          <w:szCs w:val="24"/>
        </w:rPr>
        <w:t>A Contratada deverá manter, no local dos serviços, preposto especialmente designado, aceito pela Fiscalização, para prover o que disser respeito à regular execução do contrato.</w:t>
      </w:r>
    </w:p>
    <w:p>
      <w:pPr>
        <w:pStyle w:val="style39"/>
        <w:keepNext/>
        <w:spacing w:after="0" w:before="0"/>
        <w:ind w:hanging="0" w:left="0" w:right="0"/>
        <w:contextualSpacing w:val="false"/>
      </w:pPr>
      <w:r>
        <w:rPr>
          <w:rFonts w:cs="Arial"/>
          <w:color w:val="000000"/>
          <w:sz w:val="24"/>
          <w:szCs w:val="24"/>
        </w:rPr>
        <w:tab/>
        <w:t>A instituição e a atuação da fiscalização do Município não excluem ou atenuam a responsabilidade da Contratada nem a exime de manter fiscalização própria.</w:t>
      </w:r>
    </w:p>
    <w:p>
      <w:pPr>
        <w:pStyle w:val="style39"/>
        <w:keepNext/>
        <w:spacing w:after="0" w:before="0"/>
        <w:ind w:hanging="0" w:left="0" w:right="0"/>
        <w:contextualSpacing w:val="false"/>
      </w:pPr>
      <w:r>
        <w:rPr/>
      </w:r>
    </w:p>
    <w:p>
      <w:pPr>
        <w:pStyle w:val="style1"/>
        <w:numPr>
          <w:ilvl w:val="0"/>
          <w:numId w:val="2"/>
        </w:numPr>
        <w:spacing w:after="0" w:before="0" w:line="360" w:lineRule="auto"/>
        <w:ind w:hanging="360" w:left="0" w:right="0"/>
        <w:contextualSpacing w:val="false"/>
        <w:jc w:val="both"/>
      </w:pPr>
      <w:bookmarkStart w:id="44" w:name="_Toc79806197"/>
      <w:bookmarkStart w:id="45" w:name="_Toc183324528"/>
      <w:bookmarkStart w:id="46" w:name="_Toc183345816"/>
      <w:bookmarkStart w:id="47" w:name="_Toc273265009"/>
      <w:bookmarkStart w:id="48" w:name="_Toc273265233"/>
      <w:bookmarkStart w:id="49" w:name="_Toc273265371"/>
      <w:bookmarkStart w:id="50" w:name="_Toc273277750"/>
      <w:bookmarkEnd w:id="44"/>
      <w:bookmarkEnd w:id="45"/>
      <w:bookmarkEnd w:id="46"/>
      <w:bookmarkEnd w:id="47"/>
      <w:bookmarkEnd w:id="48"/>
      <w:bookmarkEnd w:id="49"/>
      <w:bookmarkEnd w:id="50"/>
      <w:r>
        <w:rPr>
          <w:rFonts w:ascii="Arial" w:cs="Arial" w:hAnsi="Arial"/>
          <w:color w:val="000000"/>
          <w:sz w:val="24"/>
          <w:szCs w:val="24"/>
        </w:rPr>
        <w:t>NORMAS TÉCNICAS DE SAÚDE E SEGURANÇA DO TRABALHO</w:t>
      </w:r>
    </w:p>
    <w:p>
      <w:pPr>
        <w:pStyle w:val="style0"/>
      </w:pPr>
      <w:r>
        <w:rPr/>
      </w:r>
    </w:p>
    <w:p>
      <w:pPr>
        <w:pStyle w:val="style39"/>
        <w:keepNext/>
        <w:spacing w:after="0" w:before="0"/>
        <w:ind w:hanging="0" w:left="0" w:right="0"/>
        <w:contextualSpacing w:val="false"/>
      </w:pPr>
      <w:r>
        <w:rPr>
          <w:rFonts w:cs="Arial"/>
          <w:color w:val="000000"/>
          <w:sz w:val="24"/>
          <w:szCs w:val="24"/>
        </w:rPr>
        <w:tab/>
        <w:t>De modo a atender ao que dispõe o inciso VI, art. 12 da Lei nº 8.666/93, a Contratada deverá observar todas as normas de saúde e segurança do trabalho, aplicáveis aos serviços objeto deste Projeto.</w:t>
      </w:r>
    </w:p>
    <w:p>
      <w:pPr>
        <w:pStyle w:val="style39"/>
        <w:keepNext/>
        <w:spacing w:after="0" w:before="0"/>
        <w:ind w:hanging="0" w:left="0" w:right="0"/>
        <w:contextualSpacing w:val="false"/>
      </w:pPr>
      <w:r>
        <w:rPr>
          <w:rFonts w:cs="Arial"/>
          <w:color w:val="000000"/>
          <w:sz w:val="24"/>
          <w:szCs w:val="24"/>
        </w:rPr>
        <w:tab/>
        <w:t>De modo a atender ao que dispõe o inciso VI, art. 12 da Lei nº 8.666/93, a seguir está informado às normas técnicas de saúde e de segurança do trabalho a serem observadas pela Contratada para execução do objeto deste Projeto Básico:</w:t>
      </w:r>
    </w:p>
    <w:p>
      <w:pPr>
        <w:pStyle w:val="style39"/>
        <w:keepNext/>
        <w:numPr>
          <w:ilvl w:val="0"/>
          <w:numId w:val="4"/>
        </w:numPr>
        <w:tabs>
          <w:tab w:leader="none" w:pos="1004" w:val="left"/>
        </w:tabs>
        <w:spacing w:after="0" w:before="0"/>
        <w:ind w:hanging="360" w:left="0" w:right="0"/>
        <w:contextualSpacing w:val="false"/>
      </w:pPr>
      <w:r>
        <w:rPr>
          <w:rFonts w:cs="Arial"/>
          <w:color w:val="000000"/>
          <w:sz w:val="24"/>
          <w:szCs w:val="24"/>
        </w:rPr>
        <w:t>Fornecer e usar, obrigatoriamente, Equipamento de Proteção Individual (E.P.I.), exigidos conforme a natureza da tarefa (capacete, óculos, luvas, etc.);</w:t>
      </w:r>
    </w:p>
    <w:p>
      <w:pPr>
        <w:pStyle w:val="style39"/>
        <w:keepNext/>
        <w:numPr>
          <w:ilvl w:val="0"/>
          <w:numId w:val="4"/>
        </w:numPr>
        <w:spacing w:after="0" w:before="0"/>
        <w:ind w:hanging="360" w:left="0" w:right="0"/>
        <w:contextualSpacing w:val="false"/>
      </w:pPr>
      <w:r>
        <w:rPr>
          <w:rFonts w:cs="Arial"/>
          <w:color w:val="000000"/>
          <w:sz w:val="24"/>
          <w:szCs w:val="24"/>
        </w:rPr>
        <w:t>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style39"/>
        <w:keepNext/>
        <w:spacing w:after="0" w:before="0"/>
        <w:ind w:hanging="0" w:left="0" w:right="0"/>
        <w:contextualSpacing w:val="false"/>
      </w:pPr>
      <w:r>
        <w:rPr/>
      </w:r>
    </w:p>
    <w:p>
      <w:pPr>
        <w:pStyle w:val="style1"/>
        <w:numPr>
          <w:ilvl w:val="0"/>
          <w:numId w:val="2"/>
        </w:numPr>
        <w:spacing w:after="0" w:before="0" w:line="360" w:lineRule="auto"/>
        <w:ind w:hanging="360" w:left="0" w:right="0"/>
        <w:contextualSpacing w:val="false"/>
        <w:jc w:val="both"/>
      </w:pPr>
      <w:r>
        <w:rPr>
          <w:rFonts w:ascii="Arial" w:cs="Arial" w:hAnsi="Arial"/>
          <w:color w:val="000000"/>
          <w:sz w:val="24"/>
          <w:szCs w:val="24"/>
        </w:rPr>
        <w:t>QUALIFICAÇÃO DA LICITANTE</w:t>
      </w:r>
    </w:p>
    <w:p>
      <w:pPr>
        <w:pStyle w:val="style39"/>
        <w:keepNext/>
        <w:spacing w:after="0" w:before="0"/>
        <w:ind w:hanging="0" w:left="0" w:right="0"/>
        <w:contextualSpacing w:val="false"/>
      </w:pPr>
      <w:r>
        <w:rPr>
          <w:rFonts w:cs="Arial"/>
          <w:color w:val="000000"/>
          <w:sz w:val="24"/>
          <w:szCs w:val="24"/>
        </w:rPr>
        <w:tab/>
      </w:r>
      <w:r>
        <w:rPr>
          <w:rFonts w:cs="Arial"/>
        </w:rPr>
        <w:t>A qualificação técnica da licitante será comprovada através da seguinte documentação:</w:t>
      </w:r>
    </w:p>
    <w:p>
      <w:pPr>
        <w:pStyle w:val="style40"/>
        <w:tabs>
          <w:tab w:leader="none" w:pos="2858" w:val="center"/>
          <w:tab w:leader="none" w:pos="4972" w:val="center"/>
          <w:tab w:leader="none" w:pos="9224" w:val="right"/>
          <w:tab w:leader="none" w:pos="9944" w:val="right"/>
        </w:tabs>
        <w:spacing w:line="360" w:lineRule="auto"/>
        <w:ind w:hanging="0" w:left="720" w:right="0"/>
        <w:jc w:val="both"/>
      </w:pPr>
      <w:r>
        <w:rPr>
          <w:rFonts w:ascii="Arial" w:cs="Arial" w:hAnsi="Arial"/>
          <w:sz w:val="20"/>
          <w:szCs w:val="20"/>
        </w:rPr>
        <w:t xml:space="preserve">HABILITAÇÃO TECNICO-OPERACIONAL </w:t>
      </w:r>
    </w:p>
    <w:p>
      <w:pPr>
        <w:pStyle w:val="style40"/>
        <w:numPr>
          <w:ilvl w:val="0"/>
          <w:numId w:val="5"/>
        </w:numPr>
        <w:tabs>
          <w:tab w:leader="none" w:pos="5387" w:val="center"/>
          <w:tab w:leader="none" w:pos="5953" w:val="center"/>
          <w:tab w:leader="none" w:pos="10205" w:val="right"/>
          <w:tab w:leader="none" w:pos="11906" w:val="right"/>
        </w:tabs>
        <w:spacing w:line="360" w:lineRule="auto"/>
        <w:ind w:hanging="261" w:left="1701" w:right="0"/>
        <w:jc w:val="both"/>
      </w:pPr>
      <w:r>
        <w:rPr>
          <w:rFonts w:ascii="Arial" w:cs="Arial" w:hAnsi="Arial"/>
          <w:color w:val="000000"/>
        </w:rPr>
        <w:t>Certidão comprobatória de Inscrição e regularidade no Conselho de Arquitetura e Urbanismo (CAU) ou do Conselho de Engenharia e Agronomia (CREA) da Empresa e seus respectivos Responsáveis Técnicos com habilitação nos ramos de Arquitetura ou Engenharia Civil e Engenharia Elétrica, conforme atribuições referentes aos Conselhos pertinentes à categoria profissional;</w:t>
      </w:r>
    </w:p>
    <w:p>
      <w:pPr>
        <w:pStyle w:val="style40"/>
        <w:tabs>
          <w:tab w:leader="none" w:pos="5387" w:val="center"/>
          <w:tab w:leader="none" w:pos="5953" w:val="center"/>
          <w:tab w:leader="none" w:pos="10205" w:val="right"/>
          <w:tab w:leader="none" w:pos="11906" w:val="right"/>
        </w:tabs>
        <w:spacing w:line="360" w:lineRule="auto"/>
        <w:ind w:hanging="0" w:left="1701" w:right="0"/>
        <w:jc w:val="both"/>
      </w:pPr>
      <w:r>
        <w:rPr/>
      </w:r>
    </w:p>
    <w:p>
      <w:pPr>
        <w:pStyle w:val="style40"/>
        <w:tabs>
          <w:tab w:leader="none" w:pos="2858" w:val="center"/>
          <w:tab w:leader="none" w:pos="4972" w:val="center"/>
          <w:tab w:leader="none" w:pos="9224" w:val="right"/>
          <w:tab w:leader="none" w:pos="9944" w:val="right"/>
        </w:tabs>
        <w:spacing w:line="360" w:lineRule="auto"/>
        <w:ind w:hanging="0" w:left="720" w:right="0"/>
        <w:jc w:val="both"/>
      </w:pPr>
      <w:r>
        <w:rPr>
          <w:rFonts w:ascii="Arial" w:cs="Arial" w:hAnsi="Arial"/>
          <w:color w:val="000000"/>
        </w:rPr>
        <w:t>HABILITAÇÃO TECNICO-PROFISSIONAL</w:t>
      </w:r>
    </w:p>
    <w:p>
      <w:pPr>
        <w:pStyle w:val="style40"/>
        <w:numPr>
          <w:ilvl w:val="0"/>
          <w:numId w:val="5"/>
        </w:numPr>
        <w:tabs>
          <w:tab w:leader="none" w:pos="5387" w:val="center"/>
          <w:tab w:leader="none" w:pos="5953" w:val="center"/>
          <w:tab w:leader="none" w:pos="10205" w:val="right"/>
          <w:tab w:leader="none" w:pos="11906" w:val="right"/>
        </w:tabs>
        <w:spacing w:line="360" w:lineRule="auto"/>
        <w:ind w:hanging="261" w:left="1701" w:right="0"/>
        <w:jc w:val="both"/>
      </w:pPr>
      <w:r>
        <w:rPr>
          <w:rFonts w:ascii="Arial" w:cs="Arial" w:hAnsi="Arial"/>
          <w:color w:val="000000"/>
        </w:rPr>
        <w:t>Indicação EXPRESSA, de possuir em seu quadro de pessoal, na data prevista de realização deste certame, de profissional (is) de nível superior devidamente reconhecidos pelo Conselho de Arquitetura e Urbanismo (CAU) ou do Conselho de Engenharia e Agronomia (CREA), que será RESPONSÁVEL TÉCNICO PELO SERVIÇO, detentor (es)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w:t>
      </w:r>
    </w:p>
    <w:p>
      <w:pPr>
        <w:pStyle w:val="style40"/>
        <w:numPr>
          <w:ilvl w:val="3"/>
          <w:numId w:val="5"/>
        </w:numPr>
        <w:tabs>
          <w:tab w:leader="none" w:pos="5387" w:val="center"/>
          <w:tab w:leader="none" w:pos="5953" w:val="center"/>
          <w:tab w:leader="none" w:pos="7654" w:val="center"/>
          <w:tab w:leader="none" w:pos="10205" w:val="right"/>
          <w:tab w:leader="none" w:pos="11906" w:val="right"/>
        </w:tabs>
        <w:spacing w:line="360" w:lineRule="auto"/>
        <w:ind w:hanging="360" w:left="1701" w:right="0"/>
        <w:jc w:val="both"/>
      </w:pPr>
      <w:r>
        <w:rPr>
          <w:rFonts w:ascii="Arial" w:cs="Arial" w:hAnsi="Arial"/>
          <w:color w:val="000000"/>
        </w:rPr>
        <w:t>Deverá, NO INÍCIO DO SERVIÇO E DURANTE TODA A SUA EXECUÇÃO, permanecer no quadro de pessoal da empresa um profissional indicado como responsável técnico</w:t>
      </w:r>
    </w:p>
    <w:p>
      <w:pPr>
        <w:pStyle w:val="style40"/>
        <w:tabs>
          <w:tab w:leader="none" w:pos="5387" w:val="center"/>
          <w:tab w:leader="none" w:pos="5953" w:val="center"/>
          <w:tab w:leader="none" w:pos="7654" w:val="center"/>
          <w:tab w:leader="none" w:pos="10205" w:val="right"/>
          <w:tab w:leader="none" w:pos="11906" w:val="right"/>
        </w:tabs>
        <w:spacing w:line="360" w:lineRule="auto"/>
        <w:ind w:hanging="0" w:left="1701" w:right="0"/>
        <w:jc w:val="both"/>
      </w:pPr>
      <w:r>
        <w:rPr/>
      </w:r>
    </w:p>
    <w:p>
      <w:pPr>
        <w:pStyle w:val="style40"/>
        <w:numPr>
          <w:ilvl w:val="0"/>
          <w:numId w:val="2"/>
        </w:numPr>
        <w:spacing w:line="360" w:lineRule="auto"/>
        <w:jc w:val="both"/>
      </w:pPr>
      <w:r>
        <w:rPr>
          <w:rFonts w:ascii="Arial" w:cs="Arial" w:hAnsi="Arial"/>
          <w:b/>
        </w:rPr>
        <w:t>VISTORIA TECNICA</w:t>
      </w:r>
    </w:p>
    <w:p>
      <w:pPr>
        <w:pStyle w:val="style40"/>
        <w:spacing w:line="360" w:lineRule="auto"/>
        <w:ind w:hanging="0" w:left="360" w:right="0"/>
        <w:jc w:val="both"/>
      </w:pPr>
      <w:r>
        <w:rPr/>
      </w:r>
    </w:p>
    <w:p>
      <w:pPr>
        <w:pStyle w:val="style40"/>
        <w:numPr>
          <w:ilvl w:val="1"/>
          <w:numId w:val="2"/>
        </w:numPr>
        <w:tabs>
          <w:tab w:leader="none" w:pos="1134" w:val="center"/>
          <w:tab w:leader="none" w:pos="4252" w:val="center"/>
          <w:tab w:leader="none" w:pos="8504" w:val="right"/>
        </w:tabs>
        <w:spacing w:line="360" w:lineRule="auto"/>
        <w:jc w:val="both"/>
      </w:pPr>
      <w:r>
        <w:rPr>
          <w:rFonts w:ascii="Arial" w:cs="Arial" w:hAnsi="Arial"/>
        </w:rPr>
        <w:t>Para o correto dimensionamento e elaboração de sua proposta, o licitante poderá realizar vistoria nas instalações, em virtude da exigência requerida para a boa e perfeita realização do objeto deste termo.</w:t>
      </w:r>
    </w:p>
    <w:p>
      <w:pPr>
        <w:pStyle w:val="style40"/>
        <w:numPr>
          <w:ilvl w:val="1"/>
          <w:numId w:val="2"/>
        </w:numPr>
        <w:tabs>
          <w:tab w:leader="none" w:pos="1134" w:val="center"/>
          <w:tab w:leader="none" w:pos="4252" w:val="center"/>
          <w:tab w:leader="none" w:pos="8504" w:val="right"/>
        </w:tabs>
        <w:spacing w:line="360" w:lineRule="auto"/>
        <w:jc w:val="both"/>
      </w:pPr>
      <w:r>
        <w:rPr>
          <w:rFonts w:ascii="Arial" w:cs="Arial" w:hAnsi="Arial"/>
        </w:rPr>
        <w:t>O prazo para vistoria iniciar-se-á no dia útil seguinte ao da publicação do Edital, estendendo-se até o dia útil anterior à data prevista para a abertura da sessão pública.</w:t>
      </w:r>
    </w:p>
    <w:p>
      <w:pPr>
        <w:pStyle w:val="style40"/>
        <w:numPr>
          <w:ilvl w:val="1"/>
          <w:numId w:val="2"/>
        </w:numPr>
        <w:tabs>
          <w:tab w:leader="none" w:pos="1134" w:val="center"/>
          <w:tab w:leader="none" w:pos="4252" w:val="center"/>
          <w:tab w:leader="none" w:pos="8504" w:val="right"/>
        </w:tabs>
        <w:spacing w:line="360" w:lineRule="auto"/>
        <w:jc w:val="both"/>
      </w:pPr>
      <w:r>
        <w:rPr>
          <w:rFonts w:ascii="Arial" w:cs="Arial" w:hAnsi="Arial"/>
        </w:rPr>
        <w:t>Caso a licitante opte pela não realização da vistoria técnica, esta deverá apresentar declaração formal que a empresa tem pleno conhecimento das condições e peculiaridades do objeto licitado.</w:t>
      </w:r>
    </w:p>
    <w:p>
      <w:pPr>
        <w:pStyle w:val="style40"/>
        <w:numPr>
          <w:ilvl w:val="1"/>
          <w:numId w:val="2"/>
        </w:numPr>
        <w:tabs>
          <w:tab w:leader="none" w:pos="1134" w:val="center"/>
          <w:tab w:leader="none" w:pos="4252" w:val="center"/>
          <w:tab w:leader="none" w:pos="8504" w:val="right"/>
        </w:tabs>
        <w:spacing w:line="360" w:lineRule="auto"/>
        <w:jc w:val="both"/>
      </w:pPr>
      <w:r>
        <w:rPr>
          <w:rFonts w:ascii="Arial" w:cs="Arial" w:hAnsi="Arial"/>
        </w:rPr>
        <w:t>Quaisquer informações poderão ser obtidas na SECRETARIA MUNICIPAL DE OBRAS, situada a Avenida 22 de Maio, 7071 – Venda das Pedras – Itaboraí – RJ.</w:t>
      </w:r>
    </w:p>
    <w:p>
      <w:pPr>
        <w:pStyle w:val="style40"/>
        <w:tabs>
          <w:tab w:leader="none" w:pos="5387" w:val="center"/>
          <w:tab w:leader="none" w:pos="5953" w:val="center"/>
          <w:tab w:leader="none" w:pos="7654" w:val="center"/>
          <w:tab w:leader="none" w:pos="10205" w:val="right"/>
          <w:tab w:leader="none" w:pos="11906" w:val="right"/>
        </w:tabs>
        <w:spacing w:line="360" w:lineRule="auto"/>
        <w:ind w:hanging="0" w:left="1701" w:right="0"/>
        <w:jc w:val="both"/>
      </w:pPr>
      <w:r>
        <w:rPr/>
      </w:r>
    </w:p>
    <w:p>
      <w:pPr>
        <w:pStyle w:val="style40"/>
        <w:numPr>
          <w:ilvl w:val="0"/>
          <w:numId w:val="2"/>
        </w:numPr>
        <w:tabs>
          <w:tab w:leader="none" w:pos="1985" w:val="center"/>
          <w:tab w:leader="none" w:pos="4252" w:val="center"/>
          <w:tab w:leader="none" w:pos="8504" w:val="right"/>
        </w:tabs>
        <w:spacing w:line="360" w:lineRule="auto"/>
        <w:jc w:val="both"/>
      </w:pPr>
      <w:r>
        <w:rPr>
          <w:rFonts w:ascii="Arial" w:cs="Arial" w:hAnsi="Arial"/>
          <w:b/>
          <w:color w:val="000000"/>
        </w:rPr>
        <w:t>DO PRAZO DE EXECUÇÃO DO CONTRATO</w:t>
      </w:r>
    </w:p>
    <w:p>
      <w:pPr>
        <w:pStyle w:val="style40"/>
        <w:tabs>
          <w:tab w:leader="none" w:pos="1985" w:val="center"/>
          <w:tab w:leader="none" w:pos="4252" w:val="center"/>
          <w:tab w:leader="none" w:pos="8504" w:val="right"/>
        </w:tabs>
        <w:spacing w:line="360" w:lineRule="auto"/>
        <w:jc w:val="both"/>
      </w:pPr>
      <w:r>
        <w:rPr/>
      </w:r>
    </w:p>
    <w:p>
      <w:pPr>
        <w:pStyle w:val="style39"/>
        <w:keepNext/>
        <w:spacing w:after="0" w:before="0"/>
        <w:ind w:firstLine="708" w:left="0" w:right="0"/>
        <w:contextualSpacing w:val="false"/>
      </w:pPr>
      <w:r>
        <w:rPr>
          <w:rFonts w:cs="Arial"/>
          <w:sz w:val="24"/>
          <w:szCs w:val="24"/>
        </w:rPr>
        <w:t>O prazo de execução do contrato que vier a ser celebrado para a execução do objeto deste Projeto deverá ser fixado em 03 (três) meses renováveis.</w:t>
      </w:r>
    </w:p>
    <w:p>
      <w:pPr>
        <w:pStyle w:val="style39"/>
        <w:spacing w:after="0" w:before="0"/>
        <w:ind w:hanging="0" w:left="0" w:right="0"/>
        <w:contextualSpacing w:val="false"/>
      </w:pPr>
      <w:r>
        <w:rPr>
          <w:rFonts w:cs="Arial"/>
          <w:color w:val="000000"/>
          <w:sz w:val="24"/>
          <w:szCs w:val="24"/>
        </w:rPr>
        <w:tab/>
      </w:r>
      <w:r>
        <w:rPr>
          <w:rFonts w:cs="Arial"/>
          <w:sz w:val="24"/>
          <w:szCs w:val="24"/>
        </w:rPr>
        <w:t>O prazo a que se refere o subitem anterior começará a fluir no 1º (primeiro) dia do recebimento, pela contratada, da autorização formal para o início da execução contratual, a ser emitida pelo Fiscal do Contrato e pelo Ordenador de Despesas.</w:t>
      </w:r>
    </w:p>
    <w:p>
      <w:pPr>
        <w:pStyle w:val="style39"/>
        <w:spacing w:after="0" w:before="0"/>
        <w:ind w:hanging="0" w:left="0" w:right="0"/>
        <w:contextualSpacing w:val="false"/>
      </w:pPr>
      <w:r>
        <w:rPr/>
      </w:r>
    </w:p>
    <w:p>
      <w:pPr>
        <w:pStyle w:val="style39"/>
        <w:numPr>
          <w:ilvl w:val="0"/>
          <w:numId w:val="2"/>
        </w:numPr>
        <w:spacing w:after="0" w:before="0"/>
        <w:contextualSpacing w:val="false"/>
      </w:pPr>
      <w:r>
        <w:rPr>
          <w:rFonts w:cs="Arial"/>
          <w:b/>
          <w:color w:val="000000"/>
          <w:sz w:val="24"/>
          <w:szCs w:val="24"/>
        </w:rPr>
        <w:t>ORÇAMENTO ESTIMADO</w:t>
      </w:r>
    </w:p>
    <w:p>
      <w:pPr>
        <w:pStyle w:val="style39"/>
        <w:spacing w:after="0" w:before="0"/>
        <w:contextualSpacing w:val="false"/>
      </w:pPr>
      <w:r>
        <w:rPr/>
      </w:r>
    </w:p>
    <w:p>
      <w:pPr>
        <w:pStyle w:val="style39"/>
        <w:spacing w:after="0" w:before="0"/>
        <w:ind w:firstLine="360" w:left="0" w:right="0"/>
        <w:contextualSpacing w:val="false"/>
      </w:pPr>
      <w:bookmarkStart w:id="51" w:name="_Ref78516743"/>
      <w:bookmarkEnd w:id="51"/>
      <w:r>
        <w:rPr>
          <w:rFonts w:cs="Arial"/>
          <w:sz w:val="24"/>
          <w:szCs w:val="24"/>
        </w:rPr>
        <w:t>Os preços utilizados para os serviços objeto deste Projeto Básico foram tomados por base nas tabelas oficiais SINAPI e EMOP, e são os apresentados nos seguintes documentos:</w:t>
      </w:r>
    </w:p>
    <w:p>
      <w:pPr>
        <w:pStyle w:val="style39"/>
        <w:spacing w:after="0" w:before="0"/>
        <w:ind w:firstLine="360" w:left="0" w:right="0"/>
        <w:contextualSpacing w:val="false"/>
      </w:pPr>
      <w:r>
        <w:rPr/>
      </w:r>
    </w:p>
    <w:p>
      <w:pPr>
        <w:pStyle w:val="style38"/>
        <w:numPr>
          <w:ilvl w:val="0"/>
          <w:numId w:val="6"/>
        </w:numPr>
        <w:spacing w:after="0" w:before="0" w:line="360" w:lineRule="auto"/>
        <w:contextualSpacing w:val="false"/>
        <w:jc w:val="both"/>
      </w:pPr>
      <w:r>
        <w:rPr>
          <w:rFonts w:ascii="Arial" w:cs="Arial" w:hAnsi="Arial"/>
        </w:rPr>
        <w:t>Orçamento Sintético;</w:t>
      </w:r>
    </w:p>
    <w:p>
      <w:pPr>
        <w:pStyle w:val="style38"/>
        <w:numPr>
          <w:ilvl w:val="0"/>
          <w:numId w:val="6"/>
        </w:numPr>
        <w:spacing w:after="0" w:before="0" w:line="360" w:lineRule="auto"/>
        <w:contextualSpacing w:val="false"/>
        <w:jc w:val="both"/>
      </w:pPr>
      <w:r>
        <w:rPr>
          <w:rFonts w:ascii="Arial" w:cs="Arial" w:hAnsi="Arial"/>
          <w:sz w:val="24"/>
          <w:szCs w:val="24"/>
        </w:rPr>
        <w:t>Planilha Orçamentária;</w:t>
      </w:r>
    </w:p>
    <w:p>
      <w:pPr>
        <w:pStyle w:val="style38"/>
        <w:numPr>
          <w:ilvl w:val="0"/>
          <w:numId w:val="6"/>
        </w:numPr>
        <w:spacing w:after="0" w:before="0" w:line="360" w:lineRule="auto"/>
        <w:contextualSpacing w:val="false"/>
        <w:jc w:val="both"/>
      </w:pPr>
      <w:r>
        <w:rPr>
          <w:rFonts w:ascii="Arial" w:cs="Arial" w:hAnsi="Arial"/>
          <w:sz w:val="24"/>
          <w:szCs w:val="24"/>
        </w:rPr>
        <w:t>Memória de Cálculo;</w:t>
      </w:r>
    </w:p>
    <w:p>
      <w:pPr>
        <w:pStyle w:val="style38"/>
        <w:numPr>
          <w:ilvl w:val="0"/>
          <w:numId w:val="6"/>
        </w:numPr>
        <w:spacing w:after="0" w:before="0" w:line="360" w:lineRule="auto"/>
        <w:contextualSpacing w:val="false"/>
        <w:jc w:val="both"/>
      </w:pPr>
      <w:r>
        <w:rPr>
          <w:rFonts w:ascii="Arial" w:cs="Arial" w:hAnsi="Arial"/>
          <w:sz w:val="24"/>
          <w:szCs w:val="24"/>
        </w:rPr>
        <w:t>Cronograma Físico – Financeiro;</w:t>
      </w:r>
    </w:p>
    <w:p>
      <w:pPr>
        <w:pStyle w:val="style38"/>
        <w:numPr>
          <w:ilvl w:val="0"/>
          <w:numId w:val="6"/>
        </w:numPr>
        <w:spacing w:after="0" w:before="0" w:line="360" w:lineRule="auto"/>
        <w:contextualSpacing w:val="false"/>
        <w:jc w:val="both"/>
      </w:pPr>
      <w:r>
        <w:rPr>
          <w:rFonts w:ascii="Arial" w:cs="Arial" w:hAnsi="Arial"/>
          <w:sz w:val="24"/>
          <w:szCs w:val="24"/>
        </w:rPr>
        <w:t>Composição do BDI (Benefícios e Despesas Indiretas);</w:t>
      </w:r>
    </w:p>
    <w:p>
      <w:pPr>
        <w:pStyle w:val="style38"/>
        <w:numPr>
          <w:ilvl w:val="0"/>
          <w:numId w:val="6"/>
        </w:numPr>
        <w:spacing w:after="0" w:before="0" w:line="360" w:lineRule="auto"/>
        <w:contextualSpacing w:val="false"/>
        <w:jc w:val="both"/>
      </w:pPr>
      <w:r>
        <w:rPr>
          <w:rFonts w:ascii="Arial" w:cs="Arial" w:hAnsi="Arial"/>
          <w:sz w:val="24"/>
          <w:szCs w:val="24"/>
        </w:rPr>
        <w:t>Composições de Custo Unitário de Serviços.</w:t>
      </w:r>
    </w:p>
    <w:p>
      <w:pPr>
        <w:pStyle w:val="style39"/>
        <w:spacing w:after="0" w:before="0"/>
        <w:ind w:hanging="0" w:left="0" w:right="0"/>
        <w:contextualSpacing w:val="false"/>
      </w:pPr>
      <w:r>
        <w:rPr/>
      </w:r>
    </w:p>
    <w:p>
      <w:pPr>
        <w:pStyle w:val="style39"/>
        <w:numPr>
          <w:ilvl w:val="0"/>
          <w:numId w:val="2"/>
        </w:numPr>
        <w:spacing w:after="0" w:before="0"/>
        <w:contextualSpacing w:val="false"/>
      </w:pPr>
      <w:bookmarkStart w:id="52" w:name="_Ref77356342"/>
      <w:bookmarkStart w:id="53" w:name="_Toc79806215"/>
      <w:bookmarkStart w:id="54" w:name="_Toc183324546"/>
      <w:bookmarkStart w:id="55" w:name="_Toc183345834"/>
      <w:bookmarkStart w:id="56" w:name="_Toc273265027"/>
      <w:bookmarkStart w:id="57" w:name="_Toc273265251"/>
      <w:bookmarkStart w:id="58" w:name="_Toc273265389"/>
      <w:bookmarkStart w:id="59" w:name="_Toc273277768"/>
      <w:bookmarkEnd w:id="53"/>
      <w:bookmarkEnd w:id="54"/>
      <w:bookmarkEnd w:id="55"/>
      <w:bookmarkEnd w:id="56"/>
      <w:bookmarkEnd w:id="57"/>
      <w:bookmarkEnd w:id="58"/>
      <w:bookmarkEnd w:id="59"/>
      <w:r>
        <w:rPr>
          <w:rFonts w:cs="Arial"/>
          <w:b/>
          <w:sz w:val="24"/>
          <w:szCs w:val="24"/>
        </w:rPr>
        <w:t>CONDIÇÕES DE PAGAMENTO</w:t>
      </w:r>
    </w:p>
    <w:p>
      <w:pPr>
        <w:pStyle w:val="style39"/>
        <w:spacing w:after="0" w:before="0"/>
        <w:ind w:hanging="0" w:left="360" w:right="0"/>
        <w:contextualSpacing w:val="false"/>
      </w:pPr>
      <w:r>
        <w:rPr/>
      </w:r>
    </w:p>
    <w:p>
      <w:pPr>
        <w:pStyle w:val="style39"/>
        <w:tabs>
          <w:tab w:leader="none" w:pos="851" w:val="left"/>
        </w:tabs>
        <w:spacing w:after="0" w:before="0"/>
        <w:ind w:hanging="0" w:left="0" w:right="0"/>
        <w:contextualSpacing w:val="false"/>
      </w:pPr>
      <w:bookmarkStart w:id="60" w:name="_Ref77356342"/>
      <w:r>
        <w:rPr>
          <w:rFonts w:cs="Arial"/>
          <w:b/>
          <w:sz w:val="24"/>
          <w:szCs w:val="24"/>
        </w:rPr>
        <w:tab/>
      </w:r>
      <w:r>
        <w:rPr>
          <w:rFonts w:cs="Arial"/>
          <w:sz w:val="24"/>
          <w:szCs w:val="24"/>
        </w:rPr>
        <w:t xml:space="preserve">Pela execução do contrato que pactuar os serviços, objeto deste Projeto Básico, uma vez obedecido às formalidades legais e contratuais pertinentes, o Município pagará </w:t>
      </w:r>
      <w:bookmarkEnd w:id="60"/>
      <w:r>
        <w:rPr>
          <w:rFonts w:cs="Arial"/>
          <w:sz w:val="24"/>
          <w:szCs w:val="24"/>
        </w:rPr>
        <w:t xml:space="preserve">a importância total que vier a ser contratada em </w:t>
      </w:r>
      <w:r>
        <w:rPr>
          <w:rFonts w:cs="Arial"/>
          <w:b/>
          <w:sz w:val="24"/>
          <w:szCs w:val="24"/>
        </w:rPr>
        <w:t>parcelas mensais</w:t>
      </w:r>
      <w:r>
        <w:rPr>
          <w:rFonts w:cs="Arial"/>
          <w:sz w:val="24"/>
          <w:szCs w:val="24"/>
        </w:rPr>
        <w:t xml:space="preserve"> até o limite máximo estabelecido no “Cronograma Físico-Financeiro”, conforme as quantidades de serviços efetivamente realizados.</w:t>
      </w:r>
    </w:p>
    <w:p>
      <w:pPr>
        <w:pStyle w:val="style39"/>
        <w:tabs>
          <w:tab w:leader="none" w:pos="851" w:val="left"/>
        </w:tabs>
        <w:spacing w:after="0" w:before="0"/>
        <w:ind w:hanging="0" w:left="0" w:right="0"/>
        <w:contextualSpacing w:val="false"/>
      </w:pPr>
      <w:r>
        <w:rPr>
          <w:rFonts w:cs="Arial"/>
          <w:b/>
          <w:sz w:val="24"/>
          <w:szCs w:val="24"/>
        </w:rPr>
        <w:tab/>
      </w:r>
      <w:r>
        <w:rPr>
          <w:rFonts w:cs="Arial"/>
          <w:sz w:val="24"/>
          <w:szCs w:val="24"/>
        </w:rPr>
        <w:t>As cobranças das parcelas de serviço serão feitas pela Contratada, de acordo com a periodicidade e valores máximos estabelecidos no “Cronograma Físico-Financeiro”, devendo estar acompanhadas dos seguintes documentos:</w:t>
      </w:r>
    </w:p>
    <w:p>
      <w:pPr>
        <w:pStyle w:val="style39"/>
        <w:keepNext/>
        <w:numPr>
          <w:ilvl w:val="0"/>
          <w:numId w:val="7"/>
        </w:numPr>
        <w:spacing w:after="0" w:before="0"/>
        <w:contextualSpacing w:val="false"/>
      </w:pPr>
      <w:r>
        <w:rPr>
          <w:rFonts w:cs="Arial"/>
          <w:color w:val="000000"/>
          <w:sz w:val="24"/>
          <w:szCs w:val="24"/>
        </w:rPr>
        <w:t>Check-list preenchido;</w:t>
      </w:r>
    </w:p>
    <w:p>
      <w:pPr>
        <w:pStyle w:val="style39"/>
        <w:keepNext/>
        <w:numPr>
          <w:ilvl w:val="0"/>
          <w:numId w:val="7"/>
        </w:numPr>
        <w:spacing w:after="0" w:before="0"/>
        <w:contextualSpacing w:val="false"/>
      </w:pPr>
      <w:r>
        <w:rPr>
          <w:rFonts w:cs="Arial"/>
          <w:sz w:val="24"/>
          <w:szCs w:val="24"/>
        </w:rPr>
        <w:t>Nota Fiscal;</w:t>
      </w:r>
    </w:p>
    <w:p>
      <w:pPr>
        <w:pStyle w:val="style39"/>
        <w:keepNext/>
        <w:numPr>
          <w:ilvl w:val="0"/>
          <w:numId w:val="7"/>
        </w:numPr>
        <w:spacing w:after="0" w:before="0"/>
        <w:contextualSpacing w:val="false"/>
      </w:pPr>
      <w:r>
        <w:rPr>
          <w:rFonts w:cs="Arial"/>
          <w:sz w:val="24"/>
          <w:szCs w:val="24"/>
        </w:rPr>
        <w:t>Guia de recolhimento do FGTS paga;</w:t>
      </w:r>
    </w:p>
    <w:p>
      <w:pPr>
        <w:pStyle w:val="style39"/>
        <w:keepNext/>
        <w:numPr>
          <w:ilvl w:val="0"/>
          <w:numId w:val="7"/>
        </w:numPr>
        <w:spacing w:after="0" w:before="0"/>
        <w:contextualSpacing w:val="false"/>
      </w:pPr>
      <w:r>
        <w:rPr>
          <w:rFonts w:cs="Arial"/>
          <w:sz w:val="24"/>
          <w:szCs w:val="24"/>
        </w:rPr>
        <w:t>Guia de INSS paga;</w:t>
      </w:r>
    </w:p>
    <w:p>
      <w:pPr>
        <w:pStyle w:val="style39"/>
        <w:keepNext/>
        <w:numPr>
          <w:ilvl w:val="0"/>
          <w:numId w:val="7"/>
        </w:numPr>
        <w:spacing w:after="0" w:before="0"/>
        <w:contextualSpacing w:val="false"/>
      </w:pPr>
      <w:r>
        <w:rPr>
          <w:rFonts w:cs="Arial"/>
          <w:sz w:val="24"/>
          <w:szCs w:val="24"/>
        </w:rPr>
        <w:t>Folha de pagamento analítico;</w:t>
      </w:r>
    </w:p>
    <w:p>
      <w:pPr>
        <w:pStyle w:val="style39"/>
        <w:keepNext/>
        <w:numPr>
          <w:ilvl w:val="0"/>
          <w:numId w:val="7"/>
        </w:numPr>
        <w:spacing w:after="0" w:before="0"/>
        <w:contextualSpacing w:val="false"/>
      </w:pPr>
      <w:r>
        <w:rPr>
          <w:rFonts w:cs="Arial"/>
          <w:sz w:val="24"/>
          <w:szCs w:val="24"/>
        </w:rPr>
        <w:t>CND e CRF vigentes;</w:t>
      </w:r>
    </w:p>
    <w:p>
      <w:pPr>
        <w:pStyle w:val="style39"/>
        <w:keepNext/>
        <w:numPr>
          <w:ilvl w:val="0"/>
          <w:numId w:val="7"/>
        </w:numPr>
        <w:spacing w:after="0" w:before="0"/>
        <w:contextualSpacing w:val="false"/>
      </w:pPr>
      <w:r>
        <w:rPr>
          <w:rFonts w:cs="Arial"/>
          <w:sz w:val="24"/>
          <w:szCs w:val="24"/>
        </w:rPr>
        <w:t>Planilha de Medição;</w:t>
      </w:r>
    </w:p>
    <w:p>
      <w:pPr>
        <w:pStyle w:val="style39"/>
        <w:keepNext/>
        <w:numPr>
          <w:ilvl w:val="0"/>
          <w:numId w:val="7"/>
        </w:numPr>
        <w:spacing w:after="0" w:before="0"/>
        <w:contextualSpacing w:val="false"/>
      </w:pPr>
      <w:r>
        <w:rPr>
          <w:rFonts w:cs="Arial"/>
          <w:sz w:val="24"/>
          <w:szCs w:val="24"/>
        </w:rPr>
        <w:t>Relatório Fotográfico dos serviços executados, impresso e em mídia;</w:t>
      </w:r>
    </w:p>
    <w:p>
      <w:pPr>
        <w:pStyle w:val="style39"/>
        <w:keepNext/>
        <w:numPr>
          <w:ilvl w:val="0"/>
          <w:numId w:val="7"/>
        </w:numPr>
        <w:spacing w:after="0" w:before="0"/>
        <w:contextualSpacing w:val="false"/>
      </w:pPr>
      <w:r>
        <w:rPr>
          <w:rFonts w:cs="Arial"/>
          <w:sz w:val="24"/>
          <w:szCs w:val="24"/>
        </w:rPr>
        <w:t>Diário de Obras;</w:t>
      </w:r>
    </w:p>
    <w:p>
      <w:pPr>
        <w:pStyle w:val="style39"/>
        <w:keepNext/>
        <w:numPr>
          <w:ilvl w:val="0"/>
          <w:numId w:val="7"/>
        </w:numPr>
        <w:spacing w:after="0" w:before="0"/>
        <w:contextualSpacing w:val="false"/>
      </w:pPr>
      <w:r>
        <w:rPr>
          <w:rFonts w:cs="Arial"/>
          <w:sz w:val="24"/>
          <w:szCs w:val="24"/>
        </w:rPr>
        <w:t>Memória de Cálculo.</w:t>
      </w:r>
    </w:p>
    <w:p>
      <w:pPr>
        <w:pStyle w:val="style39"/>
        <w:keepNext/>
        <w:spacing w:after="0" w:before="0"/>
        <w:ind w:hanging="0" w:left="785" w:right="0"/>
        <w:contextualSpacing w:val="false"/>
      </w:pPr>
      <w:r>
        <w:rPr/>
      </w:r>
    </w:p>
    <w:p>
      <w:pPr>
        <w:pStyle w:val="style39"/>
        <w:tabs>
          <w:tab w:leader="none" w:pos="426" w:val="left"/>
        </w:tabs>
        <w:spacing w:after="0" w:before="0"/>
        <w:ind w:hanging="0" w:left="142" w:right="0"/>
        <w:contextualSpacing w:val="false"/>
      </w:pPr>
      <w:bookmarkStart w:id="61" w:name="_Ref77356420"/>
      <w:r>
        <w:rPr>
          <w:rFonts w:cs="Arial"/>
          <w:sz w:val="24"/>
          <w:szCs w:val="24"/>
        </w:rPr>
        <w:tab/>
        <w:t xml:space="preserve">Os pagamentos serão efetuados pela Prefeitura Municipal de Itaboraí, mediante ao </w:t>
      </w:r>
      <w:bookmarkStart w:id="62" w:name="Texto123"/>
      <w:r>
        <w:rPr>
          <w:rFonts w:cs="Arial"/>
          <w:sz w:val="24"/>
          <w:szCs w:val="24"/>
        </w:rPr>
        <w:t>atesto dos serviços</w:t>
      </w:r>
      <w:bookmarkEnd w:id="62"/>
      <w:r>
        <w:rPr>
          <w:rFonts w:cs="Arial"/>
          <w:sz w:val="24"/>
          <w:szCs w:val="24"/>
        </w:rPr>
        <w:t>, no prazo máximo de 30 (trinta) dias</w:t>
      </w:r>
      <w:bookmarkEnd w:id="61"/>
      <w:r>
        <w:rPr>
          <w:rFonts w:cs="Arial"/>
          <w:sz w:val="24"/>
          <w:szCs w:val="24"/>
        </w:rPr>
        <w:t>, após a entrega de toda documentação, na SECRETARIA MUNICIPAL DE OBRAS, constante no ITEM 12.</w:t>
      </w:r>
    </w:p>
    <w:p>
      <w:pPr>
        <w:pStyle w:val="style39"/>
        <w:tabs>
          <w:tab w:leader="none" w:pos="426" w:val="left"/>
        </w:tabs>
        <w:spacing w:after="0" w:before="0"/>
        <w:ind w:hanging="0" w:left="142" w:right="0"/>
        <w:contextualSpacing w:val="false"/>
      </w:pPr>
      <w:bookmarkStart w:id="63" w:name="_Hlt77356481"/>
      <w:bookmarkStart w:id="64" w:name="_Ref77356465"/>
      <w:bookmarkEnd w:id="63"/>
      <w:bookmarkEnd w:id="64"/>
      <w:r>
        <w:rPr>
          <w:rFonts w:cs="Arial"/>
          <w:sz w:val="24"/>
          <w:szCs w:val="24"/>
        </w:rPr>
        <w:tab/>
        <w:t>Nos termos do que dispõe a alínea “d”, Inciso XIV, do Art. 40 da Lei Nacional n.º 8.666/93, ficam estabelecidos os seguintes critérios de penalizações e compensações financeiras:</w:t>
      </w:r>
    </w:p>
    <w:p>
      <w:pPr>
        <w:pStyle w:val="style39"/>
        <w:tabs>
          <w:tab w:leader="none" w:pos="426" w:val="left"/>
        </w:tabs>
        <w:spacing w:after="0" w:before="0"/>
        <w:ind w:hanging="0" w:left="142" w:right="0"/>
        <w:contextualSpacing w:val="false"/>
      </w:pPr>
      <w:r>
        <w:rPr>
          <w:rFonts w:cs="Arial"/>
          <w:sz w:val="24"/>
          <w:szCs w:val="24"/>
        </w:rPr>
        <w:tab/>
        <w:t>A partir do 1º dia a contar da data do recebimento da Ordem de Início da Execução Contratual a que se refere o ITEM 10, a ser expedida pelo FUNDO MUNICIPAL DE SAÚDE, as medições dos serviços serão efetuadas pela Contratada, levando em conta os serviços efetivamente realizados e serão analisadas pelo Fiscal do Contrato</w:t>
      </w:r>
    </w:p>
    <w:p>
      <w:pPr>
        <w:pStyle w:val="style39"/>
        <w:numPr>
          <w:ilvl w:val="0"/>
          <w:numId w:val="2"/>
        </w:numPr>
        <w:spacing w:after="0" w:before="0"/>
        <w:contextualSpacing w:val="false"/>
      </w:pPr>
      <w:bookmarkStart w:id="65" w:name="_Toc79806217"/>
      <w:bookmarkStart w:id="66" w:name="_Toc183324548"/>
      <w:bookmarkStart w:id="67" w:name="_Toc183345836"/>
      <w:bookmarkStart w:id="68" w:name="_Toc273265029"/>
      <w:bookmarkStart w:id="69" w:name="_Toc273265253"/>
      <w:bookmarkStart w:id="70" w:name="_Toc273265391"/>
      <w:bookmarkStart w:id="71" w:name="_Toc273277770"/>
      <w:bookmarkStart w:id="72" w:name="_Toc2913403"/>
      <w:bookmarkStart w:id="73" w:name="_Toc2919526"/>
      <w:bookmarkStart w:id="74" w:name="_Toc2913408"/>
      <w:bookmarkStart w:id="75" w:name="_Toc2919531"/>
      <w:bookmarkEnd w:id="65"/>
      <w:bookmarkEnd w:id="66"/>
      <w:bookmarkEnd w:id="67"/>
      <w:bookmarkEnd w:id="68"/>
      <w:bookmarkEnd w:id="69"/>
      <w:bookmarkEnd w:id="70"/>
      <w:bookmarkEnd w:id="71"/>
      <w:bookmarkEnd w:id="72"/>
      <w:bookmarkEnd w:id="73"/>
      <w:bookmarkEnd w:id="74"/>
      <w:bookmarkEnd w:id="75"/>
      <w:r>
        <w:rPr>
          <w:rFonts w:cs="Arial"/>
          <w:b/>
          <w:sz w:val="24"/>
          <w:szCs w:val="24"/>
        </w:rPr>
        <w:t>RECEBIMENTO DO OBJETO CONTRATADO</w:t>
      </w:r>
    </w:p>
    <w:p>
      <w:pPr>
        <w:pStyle w:val="style39"/>
        <w:spacing w:after="0" w:before="0"/>
        <w:ind w:hanging="0" w:left="360" w:right="0"/>
        <w:contextualSpacing w:val="false"/>
      </w:pPr>
      <w:r>
        <w:rPr/>
      </w:r>
    </w:p>
    <w:p>
      <w:pPr>
        <w:pStyle w:val="style39"/>
        <w:spacing w:after="0" w:before="0"/>
        <w:ind w:hanging="0" w:left="142" w:right="0"/>
        <w:contextualSpacing w:val="false"/>
      </w:pPr>
      <w:r>
        <w:rPr>
          <w:rFonts w:cs="Arial"/>
          <w:b/>
          <w:sz w:val="24"/>
          <w:szCs w:val="24"/>
        </w:rPr>
        <w:tab/>
      </w:r>
      <w:r>
        <w:rPr>
          <w:rFonts w:cs="Arial"/>
          <w:sz w:val="24"/>
          <w:szCs w:val="24"/>
        </w:rPr>
        <w:t>Executado o Contrato que decorrer deste projeto o seu objeto deverá ser recebido:</w:t>
      </w:r>
    </w:p>
    <w:p>
      <w:pPr>
        <w:pStyle w:val="style39"/>
        <w:numPr>
          <w:ilvl w:val="0"/>
          <w:numId w:val="8"/>
        </w:numPr>
        <w:spacing w:after="0" w:before="0"/>
        <w:contextualSpacing w:val="false"/>
      </w:pPr>
      <w:r>
        <w:rPr>
          <w:rFonts w:cs="Arial"/>
          <w:b/>
          <w:sz w:val="24"/>
          <w:szCs w:val="24"/>
        </w:rPr>
        <w:t>Provisoriamente,</w:t>
      </w:r>
      <w:r>
        <w:rPr>
          <w:rFonts w:cs="Arial"/>
          <w:sz w:val="24"/>
          <w:szCs w:val="24"/>
        </w:rPr>
        <w:t xml:space="preserve"> pelo responsável pelo acompanhamento e fiscalização, mediante termo circunstanciado, assinando pelas partes em até 15 (quinze) dias da comunicação escrita do contratado, acusando o término do serviço.</w:t>
      </w:r>
    </w:p>
    <w:p>
      <w:pPr>
        <w:pStyle w:val="style39"/>
        <w:numPr>
          <w:ilvl w:val="0"/>
          <w:numId w:val="8"/>
        </w:numPr>
        <w:spacing w:after="0" w:before="0"/>
        <w:contextualSpacing w:val="false"/>
      </w:pPr>
      <w:r>
        <w:rPr>
          <w:rFonts w:cs="Arial"/>
          <w:b/>
          <w:sz w:val="24"/>
          <w:szCs w:val="24"/>
        </w:rPr>
        <w:t>Definitivamente,</w:t>
      </w:r>
      <w:r>
        <w:rPr>
          <w:rFonts w:cs="Arial"/>
          <w:sz w:val="24"/>
          <w:szCs w:val="24"/>
        </w:rPr>
        <w:t xml:space="preserve"> por comissão designada pela autoridade competente, mediante termo circunstanciado assinado pelas partes, após o decurso de 60 (sessenta) dias de observação que comprove a adequação do objeto aos termos contratuais.</w:t>
      </w:r>
    </w:p>
    <w:p>
      <w:pPr>
        <w:pStyle w:val="style39"/>
        <w:spacing w:after="0" w:before="0"/>
        <w:ind w:hanging="0" w:left="142" w:right="0"/>
        <w:contextualSpacing w:val="false"/>
      </w:pPr>
      <w:r>
        <w:rPr>
          <w:rFonts w:cs="Arial"/>
          <w:sz w:val="24"/>
          <w:szCs w:val="24"/>
        </w:rPr>
        <w:tab/>
        <w:t>A Contratada está obrigada a refazer, às suas expensas, no total ou em parte, os serviços em que se verificarem vícios, defeitos ou imperfeições resultantes de falhas de execução ou dos materiais empregados.</w:t>
      </w:r>
    </w:p>
    <w:p>
      <w:pPr>
        <w:pStyle w:val="style39"/>
        <w:spacing w:after="0" w:before="0"/>
        <w:ind w:hanging="0" w:left="142" w:right="0"/>
        <w:contextualSpacing w:val="false"/>
      </w:pPr>
      <w:r>
        <w:rPr>
          <w:rFonts w:cs="Arial"/>
          <w:sz w:val="24"/>
          <w:szCs w:val="24"/>
        </w:rPr>
        <w:tab/>
        <w:t>O recebimento provisório ou definitivo do objeto do contrato não exclui a responsabilidade civil pela qualidade dos serviços, nem a ético-profissional, pela perfeita execução do contrato.</w:t>
      </w:r>
    </w:p>
    <w:p>
      <w:pPr>
        <w:pStyle w:val="style39"/>
        <w:spacing w:after="0" w:before="0"/>
        <w:ind w:hanging="0" w:left="142" w:right="0"/>
        <w:contextualSpacing w:val="false"/>
      </w:pPr>
      <w:r>
        <w:rPr/>
      </w:r>
    </w:p>
    <w:p>
      <w:pPr>
        <w:pStyle w:val="style39"/>
        <w:spacing w:after="0" w:before="0"/>
        <w:ind w:hanging="0" w:left="0" w:right="0"/>
        <w:contextualSpacing w:val="false"/>
      </w:pPr>
      <w:bookmarkStart w:id="76" w:name="_Toc79806218"/>
      <w:bookmarkStart w:id="77" w:name="_Toc183324549"/>
      <w:bookmarkStart w:id="78" w:name="_Toc183345837"/>
      <w:bookmarkStart w:id="79" w:name="_Toc273265030"/>
      <w:bookmarkStart w:id="80" w:name="_Toc273265254"/>
      <w:bookmarkStart w:id="81" w:name="_Toc273265392"/>
      <w:bookmarkStart w:id="82" w:name="_Toc273277771"/>
      <w:bookmarkEnd w:id="76"/>
      <w:bookmarkEnd w:id="77"/>
      <w:bookmarkEnd w:id="78"/>
      <w:bookmarkEnd w:id="79"/>
      <w:bookmarkEnd w:id="80"/>
      <w:bookmarkEnd w:id="81"/>
      <w:bookmarkEnd w:id="82"/>
      <w:r>
        <w:rPr>
          <w:rFonts w:cs="Arial"/>
          <w:b/>
          <w:sz w:val="24"/>
          <w:szCs w:val="24"/>
        </w:rPr>
        <w:t>14.   OBRIGAÇÕES DA CONTRATADA</w:t>
      </w:r>
    </w:p>
    <w:p>
      <w:pPr>
        <w:pStyle w:val="style40"/>
        <w:tabs>
          <w:tab w:leader="none" w:pos="1713" w:val="center"/>
          <w:tab w:leader="none" w:pos="4612" w:val="center"/>
          <w:tab w:leader="none" w:pos="8864" w:val="right"/>
          <w:tab w:leader="none" w:pos="9224" w:val="right"/>
        </w:tabs>
        <w:spacing w:line="360" w:lineRule="auto"/>
        <w:ind w:hanging="0" w:left="360" w:right="0"/>
        <w:jc w:val="both"/>
      </w:pPr>
      <w:r>
        <w:rPr/>
      </w:r>
    </w:p>
    <w:p>
      <w:pPr>
        <w:pStyle w:val="style40"/>
        <w:tabs>
          <w:tab w:leader="none" w:pos="1713" w:val="center"/>
          <w:tab w:leader="none" w:pos="4612" w:val="center"/>
          <w:tab w:leader="none" w:pos="8864" w:val="right"/>
          <w:tab w:leader="none" w:pos="9224" w:val="right"/>
        </w:tabs>
        <w:spacing w:line="360" w:lineRule="auto"/>
        <w:ind w:hanging="0" w:left="360" w:right="0"/>
        <w:jc w:val="both"/>
      </w:pPr>
      <w:r>
        <w:rPr>
          <w:rFonts w:ascii="Arial" w:cs="Arial" w:hAnsi="Arial"/>
        </w:rPr>
        <w:t>14.1. O Contrato que decorrer deste Projeto deverá estabelecer, para a Contratada, pelo menos as seguintes obrigações:</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Observar, na execução dos serviços, as normas e especificações técnicas a que estiver legalmente vinculada, as estabelecidas neste Projeto Básico e no contrato que vier a ser celebrado;</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Arcar com todas as despesas decorrentes de eventuais serviços realizados em horários extraordinários (diurno, noturno, domingos e feriados), necessários ao exato cumprimento das obrigações que vierem a ser pactuadas.</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Providenciar, junto aos órgãos competentes, sem ônus para o Município, todos os registros, licenças e autorizações necessárias ao exato cumprimento das obrigações que vierem a ser pactuadas;</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Fornecer todos os materiais, ferramentas, equipamentos e veículos necessários à execução dos serviços que vierem a ser pactuados, bem como toda a mão-de-obra;</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Atender aos pedidos fundamentados do Município para substituir ou afastar quaisquer de seus empregados;</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style40"/>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Responder por violação ao direito de uso de materiais, métodos ou processo de execução protegidos por marcas ou patentes, arcando com indenizações, taxas e/ou comissões que forem devidas;</w:t>
      </w:r>
    </w:p>
    <w:p>
      <w:pPr>
        <w:pStyle w:val="style40"/>
        <w:numPr>
          <w:ilvl w:val="2"/>
          <w:numId w:val="11"/>
        </w:numPr>
        <w:tabs>
          <w:tab w:leader="none" w:pos="851" w:val="center"/>
          <w:tab w:leader="none" w:pos="1418" w:val="left"/>
          <w:tab w:leader="none" w:pos="4252" w:val="center"/>
          <w:tab w:leader="none" w:pos="8504" w:val="right"/>
        </w:tabs>
        <w:spacing w:line="360" w:lineRule="auto"/>
        <w:jc w:val="both"/>
      </w:pPr>
      <w:r>
        <w:rPr>
          <w:rFonts w:ascii="Arial" w:cs="Arial" w:hAnsi="Arial"/>
        </w:rPr>
        <w:t xml:space="preserve">Executar o objeto deste Projeto Básico com zelo, diligência e economia, procedendo sempre de acordo com a melhor técnica aplicável a serviços dessa natureza, </w:t>
      </w:r>
    </w:p>
    <w:p>
      <w:pPr>
        <w:pStyle w:val="style40"/>
        <w:numPr>
          <w:ilvl w:val="2"/>
          <w:numId w:val="11"/>
        </w:numPr>
        <w:tabs>
          <w:tab w:leader="none" w:pos="1134" w:val="center"/>
          <w:tab w:leader="none" w:pos="1276" w:val="left"/>
          <w:tab w:leader="none" w:pos="4252" w:val="center"/>
          <w:tab w:leader="none" w:pos="8504" w:val="right"/>
        </w:tabs>
        <w:spacing w:line="360" w:lineRule="auto"/>
        <w:jc w:val="both"/>
      </w:pPr>
      <w:r>
        <w:rPr>
          <w:rFonts w:ascii="Arial" w:cs="Arial" w:hAnsi="Arial"/>
        </w:rPr>
        <w:t>Acatar as determinações da fiscalização do Município no sentido de substituir, de imediato, os serviços feitos com vícios, defeitos ou imperfeições;</w:t>
      </w:r>
    </w:p>
    <w:p>
      <w:pPr>
        <w:pStyle w:val="style40"/>
        <w:numPr>
          <w:ilvl w:val="2"/>
          <w:numId w:val="11"/>
        </w:numPr>
        <w:tabs>
          <w:tab w:leader="none" w:pos="1134" w:val="center"/>
          <w:tab w:leader="none" w:pos="1701" w:val="right"/>
          <w:tab w:leader="none" w:pos="4252" w:val="center"/>
          <w:tab w:leader="none" w:pos="8504" w:val="right"/>
        </w:tabs>
        <w:spacing w:line="360" w:lineRule="auto"/>
        <w:jc w:val="both"/>
      </w:pPr>
      <w:r>
        <w:rPr>
          <w:rFonts w:ascii="Arial" w:cs="Arial" w:hAnsi="Arial"/>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style40"/>
        <w:numPr>
          <w:ilvl w:val="2"/>
          <w:numId w:val="11"/>
        </w:numPr>
        <w:tabs>
          <w:tab w:leader="none" w:pos="1843" w:val="right"/>
          <w:tab w:leader="none" w:pos="4252" w:val="center"/>
          <w:tab w:leader="none" w:pos="8504" w:val="right"/>
        </w:tabs>
        <w:spacing w:line="360" w:lineRule="auto"/>
        <w:jc w:val="both"/>
      </w:pPr>
      <w:r>
        <w:rPr>
          <w:rFonts w:ascii="Arial" w:cs="Arial" w:hAnsi="Arial"/>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Responder, por si e por seus sucessores, integralmente e em qualquer caso, por todos os danos e prejuízos, de qualquer natureza, causados por seus empregados ou prepostos ao Município ou a terceiros;</w:t>
      </w:r>
    </w:p>
    <w:p>
      <w:pPr>
        <w:pStyle w:val="style40"/>
        <w:numPr>
          <w:ilvl w:val="2"/>
          <w:numId w:val="11"/>
        </w:numPr>
        <w:tabs>
          <w:tab w:leader="none" w:pos="1560" w:val="center"/>
          <w:tab w:leader="none" w:pos="1701" w:val="right"/>
          <w:tab w:leader="none" w:pos="4252" w:val="center"/>
          <w:tab w:leader="none" w:pos="8504" w:val="right"/>
        </w:tabs>
        <w:spacing w:line="360" w:lineRule="auto"/>
        <w:jc w:val="both"/>
      </w:pPr>
      <w:r>
        <w:rPr>
          <w:rFonts w:ascii="Arial" w:cs="Arial" w:hAnsi="Arial"/>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Manter durante a execução do contrato, em compatibilidade com as obrigações assumidas, todas as condições e qualificações exigidas para a sua contratação;</w:t>
      </w:r>
    </w:p>
    <w:p>
      <w:pPr>
        <w:pStyle w:val="style40"/>
        <w:numPr>
          <w:ilvl w:val="2"/>
          <w:numId w:val="11"/>
        </w:numPr>
        <w:tabs>
          <w:tab w:leader="none" w:pos="1843" w:val="right"/>
          <w:tab w:leader="none" w:pos="4252" w:val="center"/>
          <w:tab w:leader="none" w:pos="8504" w:val="right"/>
        </w:tabs>
        <w:spacing w:line="360" w:lineRule="auto"/>
        <w:jc w:val="both"/>
      </w:pPr>
      <w:r>
        <w:rPr>
          <w:rFonts w:ascii="Arial" w:cs="Arial" w:hAnsi="Arial"/>
        </w:rPr>
        <w:t>Efetuar os serviços objeto deste Projeto Básico obedecendo fiel e integralmente a todas as condições nele estabelecidas, bem como, as instruções e determinações expedidas pela fiscalização do Município;</w:t>
      </w:r>
    </w:p>
    <w:p>
      <w:pPr>
        <w:pStyle w:val="style40"/>
        <w:numPr>
          <w:ilvl w:val="2"/>
          <w:numId w:val="11"/>
        </w:numPr>
        <w:tabs>
          <w:tab w:leader="none" w:pos="1843" w:val="right"/>
          <w:tab w:leader="none" w:pos="4252" w:val="center"/>
          <w:tab w:leader="none" w:pos="8504" w:val="right"/>
        </w:tabs>
        <w:spacing w:line="360" w:lineRule="auto"/>
        <w:jc w:val="both"/>
      </w:pPr>
      <w:r>
        <w:rPr>
          <w:rFonts w:ascii="Arial" w:cs="Arial" w:hAnsi="Arial"/>
        </w:rPr>
        <w:t>Aceitar, nas mesmas condições contratuais os acréscimos até 25%, supressões até 25% que se fizerem necessários, do valor inicial, atualizado, do contrato que vier a ser celebrado, conforme estabelece o § 1º, Art. 65 da Lei nº 8.666/93;</w:t>
      </w:r>
    </w:p>
    <w:p>
      <w:pPr>
        <w:pStyle w:val="style40"/>
        <w:numPr>
          <w:ilvl w:val="2"/>
          <w:numId w:val="11"/>
        </w:numPr>
        <w:tabs>
          <w:tab w:leader="none" w:pos="1843" w:val="right"/>
          <w:tab w:leader="none" w:pos="4252" w:val="center"/>
          <w:tab w:leader="none" w:pos="8504" w:val="right"/>
        </w:tabs>
        <w:spacing w:line="360" w:lineRule="auto"/>
        <w:jc w:val="both"/>
      </w:pPr>
      <w:r>
        <w:rPr>
          <w:rFonts w:ascii="Arial" w:cs="Arial" w:hAnsi="Arial"/>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pStyle w:val="style40"/>
        <w:numPr>
          <w:ilvl w:val="2"/>
          <w:numId w:val="11"/>
        </w:numPr>
        <w:tabs>
          <w:tab w:leader="none" w:pos="1843" w:val="center"/>
          <w:tab w:leader="none" w:pos="4252" w:val="center"/>
          <w:tab w:leader="none" w:pos="8504" w:val="right"/>
        </w:tabs>
        <w:spacing w:line="360" w:lineRule="auto"/>
        <w:jc w:val="both"/>
      </w:pPr>
      <w:r>
        <w:rPr>
          <w:rFonts w:ascii="Arial" w:cs="Arial" w:hAnsi="Arial"/>
        </w:rPr>
        <w:t>Fornecer às suas expensas, todos os materiais de proteção e segurança do trabalho, indispensáveis para a execução do Contrato que vier a ser celebrado, em quantidades compatíveis com o número de pessoas empregadas;</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A Contratada será a única responsável pela segurança, guarda e conservação de todos os materiais, equipamentos, ferramentas e utensílios, e ainda pela proteção destes e de eventuais instalações implantadas para a execução do contrato, não cabendo responsabilidade ao Município;</w:t>
      </w:r>
    </w:p>
    <w:p>
      <w:pPr>
        <w:pStyle w:val="style40"/>
        <w:numPr>
          <w:ilvl w:val="2"/>
          <w:numId w:val="11"/>
        </w:numPr>
        <w:tabs>
          <w:tab w:leader="none" w:pos="4252" w:val="center"/>
          <w:tab w:leader="none" w:pos="8504" w:val="right"/>
        </w:tabs>
        <w:spacing w:line="360" w:lineRule="auto"/>
        <w:jc w:val="both"/>
      </w:pPr>
      <w:r>
        <w:rPr>
          <w:rFonts w:ascii="Arial" w:cs="Arial" w:hAnsi="Arial"/>
        </w:rPr>
        <w:t>Manter no local da administração da execução contratual:</w:t>
      </w:r>
    </w:p>
    <w:p>
      <w:pPr>
        <w:pStyle w:val="style40"/>
        <w:numPr>
          <w:ilvl w:val="3"/>
          <w:numId w:val="11"/>
        </w:numPr>
        <w:spacing w:line="360" w:lineRule="auto"/>
        <w:jc w:val="both"/>
      </w:pPr>
      <w:r>
        <w:rPr>
          <w:rFonts w:ascii="Arial" w:cs="Arial" w:hAnsi="Arial"/>
        </w:rPr>
        <w:t>Livro de Ocorrências Diárias;</w:t>
      </w:r>
    </w:p>
    <w:p>
      <w:pPr>
        <w:pStyle w:val="style40"/>
        <w:numPr>
          <w:ilvl w:val="3"/>
          <w:numId w:val="11"/>
        </w:numPr>
        <w:spacing w:line="360" w:lineRule="auto"/>
        <w:jc w:val="both"/>
      </w:pPr>
      <w:r>
        <w:rPr>
          <w:rFonts w:ascii="Arial" w:cs="Arial" w:hAnsi="Arial"/>
        </w:rPr>
        <w:t>Projetos e planilhas pertinentes a execução do objeto;</w:t>
      </w:r>
    </w:p>
    <w:p>
      <w:pPr>
        <w:pStyle w:val="style40"/>
        <w:numPr>
          <w:ilvl w:val="3"/>
          <w:numId w:val="11"/>
        </w:numPr>
        <w:tabs>
          <w:tab w:leader="none" w:pos="1365" w:val="left"/>
          <w:tab w:leader="none" w:pos="4252" w:val="center"/>
          <w:tab w:leader="none" w:pos="8504" w:val="right"/>
        </w:tabs>
        <w:spacing w:line="360" w:lineRule="auto"/>
        <w:jc w:val="both"/>
      </w:pPr>
      <w:r>
        <w:rPr>
          <w:rFonts w:ascii="Arial" w:cs="Arial" w:hAnsi="Arial"/>
        </w:rPr>
        <w:t>Cópia do contrato e dos documentos que o integram;</w:t>
      </w:r>
    </w:p>
    <w:p>
      <w:pPr>
        <w:pStyle w:val="style40"/>
        <w:numPr>
          <w:ilvl w:val="3"/>
          <w:numId w:val="11"/>
        </w:numPr>
        <w:spacing w:line="360" w:lineRule="auto"/>
        <w:jc w:val="both"/>
      </w:pPr>
      <w:r>
        <w:rPr>
          <w:rFonts w:ascii="Arial" w:cs="Arial" w:hAnsi="Arial"/>
        </w:rPr>
        <w:t>Registro das alterações regularmente autorizadas;</w:t>
      </w:r>
    </w:p>
    <w:p>
      <w:pPr>
        <w:pStyle w:val="style40"/>
        <w:numPr>
          <w:ilvl w:val="3"/>
          <w:numId w:val="11"/>
        </w:numPr>
        <w:spacing w:line="360" w:lineRule="auto"/>
        <w:jc w:val="both"/>
      </w:pPr>
      <w:r>
        <w:rPr>
          <w:rFonts w:ascii="Arial" w:cs="Arial" w:hAnsi="Arial"/>
        </w:rPr>
        <w:t>Arquivo ordenado das notas de serviços, relatórios, pareceres, cópias das correspondências trocadas com a Fiscalização;</w:t>
      </w:r>
    </w:p>
    <w:p>
      <w:pPr>
        <w:pStyle w:val="style40"/>
        <w:numPr>
          <w:ilvl w:val="3"/>
          <w:numId w:val="11"/>
        </w:numPr>
        <w:spacing w:line="360" w:lineRule="auto"/>
        <w:jc w:val="both"/>
      </w:pPr>
      <w:r>
        <w:rPr>
          <w:rFonts w:ascii="Arial" w:cs="Arial" w:hAnsi="Arial"/>
        </w:rPr>
        <w:t>Cronograma Físico-Financeiro;</w:t>
      </w:r>
    </w:p>
    <w:p>
      <w:pPr>
        <w:pStyle w:val="style40"/>
        <w:numPr>
          <w:ilvl w:val="3"/>
          <w:numId w:val="11"/>
        </w:numPr>
        <w:spacing w:line="360" w:lineRule="auto"/>
        <w:jc w:val="both"/>
      </w:pPr>
      <w:r>
        <w:rPr>
          <w:rFonts w:ascii="Arial" w:cs="Arial" w:hAnsi="Arial"/>
        </w:rPr>
        <w:t>Folhas de medições realizadas;</w:t>
      </w:r>
    </w:p>
    <w:p>
      <w:pPr>
        <w:pStyle w:val="style40"/>
        <w:numPr>
          <w:ilvl w:val="2"/>
          <w:numId w:val="11"/>
        </w:numPr>
        <w:tabs>
          <w:tab w:leader="none" w:pos="1843" w:val="right"/>
          <w:tab w:leader="none" w:pos="4252" w:val="center"/>
          <w:tab w:leader="none" w:pos="8504" w:val="right"/>
        </w:tabs>
        <w:spacing w:line="360" w:lineRule="auto"/>
        <w:jc w:val="both"/>
      </w:pPr>
      <w:r>
        <w:rPr>
          <w:rFonts w:ascii="Arial" w:cs="Arial" w:hAnsi="Arial"/>
        </w:rPr>
        <w:t>Lançar, diariamente, no Livro de Ocorrências, todas as ocorrências relativas à execução dos serviços, tais como anormalidades, chuvas, substituições de empregados, etc.;</w:t>
      </w:r>
    </w:p>
    <w:p>
      <w:pPr>
        <w:pStyle w:val="style40"/>
        <w:numPr>
          <w:ilvl w:val="2"/>
          <w:numId w:val="11"/>
        </w:numPr>
        <w:tabs>
          <w:tab w:leader="none" w:pos="1843" w:val="center"/>
          <w:tab w:leader="none" w:pos="4252" w:val="center"/>
          <w:tab w:leader="none" w:pos="8504" w:val="right"/>
        </w:tabs>
        <w:spacing w:line="360" w:lineRule="auto"/>
        <w:jc w:val="both"/>
      </w:pPr>
      <w:r>
        <w:rPr>
          <w:rFonts w:ascii="Arial" w:cs="Arial" w:hAnsi="Arial"/>
        </w:rPr>
        <w:t>Correrão por conta, responsabilidade e risco da contratada as conseqüências de imprudência, imperícia ou negligência sua e de seus empregados ou prepostos, notadamente:</w:t>
      </w:r>
    </w:p>
    <w:p>
      <w:pPr>
        <w:pStyle w:val="style40"/>
        <w:numPr>
          <w:ilvl w:val="3"/>
          <w:numId w:val="11"/>
        </w:numPr>
        <w:spacing w:line="360" w:lineRule="auto"/>
        <w:jc w:val="both"/>
      </w:pPr>
      <w:r>
        <w:rPr>
          <w:rFonts w:ascii="Arial" w:cs="Arial" w:hAnsi="Arial"/>
        </w:rPr>
        <w:t xml:space="preserve"> </w:t>
      </w:r>
      <w:r>
        <w:rPr>
          <w:rFonts w:ascii="Arial" w:cs="Arial" w:hAnsi="Arial"/>
        </w:rPr>
        <w:t>Má qualidade dos serviços prestados;</w:t>
      </w:r>
    </w:p>
    <w:p>
      <w:pPr>
        <w:pStyle w:val="style40"/>
        <w:numPr>
          <w:ilvl w:val="3"/>
          <w:numId w:val="11"/>
        </w:numPr>
        <w:spacing w:line="360" w:lineRule="auto"/>
        <w:jc w:val="both"/>
      </w:pPr>
      <w:r>
        <w:rPr>
          <w:rFonts w:ascii="Arial" w:cs="Arial" w:hAnsi="Arial"/>
        </w:rPr>
        <w:t xml:space="preserve"> </w:t>
      </w:r>
      <w:r>
        <w:rPr>
          <w:rFonts w:ascii="Arial" w:cs="Arial" w:hAnsi="Arial"/>
        </w:rPr>
        <w:t>Violação do direito de propriedade industrial;</w:t>
      </w:r>
    </w:p>
    <w:p>
      <w:pPr>
        <w:pStyle w:val="style40"/>
        <w:numPr>
          <w:ilvl w:val="3"/>
          <w:numId w:val="11"/>
        </w:numPr>
        <w:spacing w:line="360" w:lineRule="auto"/>
        <w:jc w:val="both"/>
      </w:pPr>
      <w:r>
        <w:rPr>
          <w:rFonts w:ascii="Arial" w:cs="Arial" w:hAnsi="Arial"/>
        </w:rPr>
        <w:t xml:space="preserve"> </w:t>
      </w:r>
      <w:r>
        <w:rPr>
          <w:rFonts w:ascii="Arial" w:cs="Arial" w:hAnsi="Arial"/>
        </w:rPr>
        <w:t>Furto, perda, roubo, deteriorações ou avarias de materiais ou equipamentos;</w:t>
      </w:r>
    </w:p>
    <w:p>
      <w:pPr>
        <w:pStyle w:val="style40"/>
        <w:numPr>
          <w:ilvl w:val="3"/>
          <w:numId w:val="11"/>
        </w:numPr>
        <w:spacing w:line="360" w:lineRule="auto"/>
        <w:jc w:val="both"/>
      </w:pPr>
      <w:r>
        <w:rPr>
          <w:rFonts w:ascii="Arial" w:cs="Arial" w:hAnsi="Arial"/>
        </w:rPr>
        <w:t xml:space="preserve"> </w:t>
      </w:r>
      <w:r>
        <w:rPr>
          <w:rFonts w:ascii="Arial" w:cs="Arial" w:hAnsi="Arial"/>
        </w:rPr>
        <w:t>Ato ilícito seu, de seus empregados ou de prepostos, que tenham reflexos danosos para o cumprimento da execução contratual;</w:t>
      </w:r>
    </w:p>
    <w:p>
      <w:pPr>
        <w:pStyle w:val="style40"/>
        <w:numPr>
          <w:ilvl w:val="3"/>
          <w:numId w:val="11"/>
        </w:numPr>
        <w:spacing w:line="360" w:lineRule="auto"/>
        <w:jc w:val="both"/>
      </w:pPr>
      <w:r>
        <w:rPr>
          <w:rFonts w:ascii="Arial" w:cs="Arial" w:hAnsi="Arial"/>
        </w:rPr>
        <w:t>Acidentes de qualquer natureza com materiais ou equipamentos, com empregados seus ou com terceiros, na execução dos serviços necessários a execução contratual, ou em decorrência da execução deles;</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 xml:space="preserve"> </w:t>
      </w:r>
      <w:r>
        <w:rPr>
          <w:rFonts w:ascii="Arial" w:cs="Arial" w:hAnsi="Arial"/>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Submeter à prévia aprovação do Município, por intermédio do fiscal de execução contratual, qualquer alteração das especificações originalmente pactuadas;</w:t>
      </w:r>
    </w:p>
    <w:p>
      <w:pPr>
        <w:pStyle w:val="style40"/>
        <w:numPr>
          <w:ilvl w:val="2"/>
          <w:numId w:val="11"/>
        </w:numPr>
        <w:tabs>
          <w:tab w:leader="none" w:pos="1701" w:val="center"/>
          <w:tab w:leader="none" w:pos="4252" w:val="center"/>
          <w:tab w:leader="none" w:pos="8504" w:val="right"/>
        </w:tabs>
        <w:spacing w:line="360" w:lineRule="auto"/>
        <w:jc w:val="both"/>
      </w:pPr>
      <w:r>
        <w:rPr>
          <w:rFonts w:ascii="Arial" w:cs="Arial" w:hAnsi="Arial"/>
        </w:rPr>
        <w:t>Apresentar ao Município, sempre que solicitado, os comprovantes dos recolhimentos devidos ao INSS e FGTS, mediante cópia;</w:t>
      </w:r>
    </w:p>
    <w:p>
      <w:pPr>
        <w:pStyle w:val="style40"/>
        <w:numPr>
          <w:ilvl w:val="2"/>
          <w:numId w:val="11"/>
        </w:numPr>
        <w:tabs>
          <w:tab w:leader="none" w:pos="1701" w:val="left"/>
          <w:tab w:leader="none" w:pos="4252" w:val="center"/>
          <w:tab w:leader="none" w:pos="8504" w:val="right"/>
        </w:tabs>
        <w:spacing w:line="360" w:lineRule="auto"/>
        <w:jc w:val="both"/>
      </w:pPr>
      <w:r>
        <w:rPr>
          <w:rFonts w:ascii="Arial" w:cs="Arial" w:hAnsi="Arial"/>
        </w:rPr>
        <w:t xml:space="preserve">Comunicar ao fiscal da execução contratual, </w:t>
      </w:r>
      <w:r>
        <w:rPr>
          <w:rFonts w:ascii="Arial" w:cs="Arial" w:hAnsi="Arial"/>
          <w:b/>
        </w:rPr>
        <w:t>no prazo máximo de 48h (quarenta e oito horas),</w:t>
      </w:r>
      <w:r>
        <w:rPr>
          <w:rFonts w:ascii="Arial" w:cs="Arial" w:hAnsi="Arial"/>
        </w:rPr>
        <w:t xml:space="preserve"> os motivos de força maior que possam justificar a interrupção dos serviços.</w:t>
      </w:r>
    </w:p>
    <w:p>
      <w:pPr>
        <w:pStyle w:val="style40"/>
        <w:numPr>
          <w:ilvl w:val="1"/>
          <w:numId w:val="11"/>
        </w:numPr>
        <w:tabs>
          <w:tab w:leader="none" w:pos="993" w:val="center"/>
          <w:tab w:leader="none" w:pos="4252" w:val="center"/>
          <w:tab w:leader="none" w:pos="8504" w:val="right"/>
        </w:tabs>
        <w:spacing w:line="360" w:lineRule="auto"/>
        <w:jc w:val="both"/>
      </w:pPr>
      <w:r>
        <w:rPr>
          <w:rFonts w:ascii="Arial" w:cs="Arial" w:hAnsi="Arial"/>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style40"/>
        <w:numPr>
          <w:ilvl w:val="1"/>
          <w:numId w:val="11"/>
        </w:numPr>
        <w:tabs>
          <w:tab w:leader="none" w:pos="993" w:val="center"/>
          <w:tab w:leader="none" w:pos="4252" w:val="center"/>
          <w:tab w:leader="none" w:pos="8504" w:val="right"/>
        </w:tabs>
        <w:spacing w:line="360" w:lineRule="auto"/>
        <w:jc w:val="both"/>
      </w:pPr>
      <w:r>
        <w:rPr>
          <w:rFonts w:ascii="Arial" w:cs="Arial" w:hAnsi="Arial"/>
        </w:rPr>
        <w:t>Quaisquer erros ou imperícias na execução do contrato, constatados pelo Município, obrigarão a contratada, à sua conta e risco, a repor as parcelas de serviços impugnados, sem prejuízo de Ação Regressiva contra quem tiver dado causa;</w:t>
      </w:r>
    </w:p>
    <w:p>
      <w:pPr>
        <w:pStyle w:val="style40"/>
        <w:numPr>
          <w:ilvl w:val="1"/>
          <w:numId w:val="11"/>
        </w:numPr>
        <w:tabs>
          <w:tab w:leader="none" w:pos="993" w:val="center"/>
          <w:tab w:leader="none" w:pos="4252" w:val="center"/>
          <w:tab w:leader="none" w:pos="8504" w:val="right"/>
        </w:tabs>
        <w:spacing w:line="360" w:lineRule="auto"/>
        <w:jc w:val="both"/>
      </w:pPr>
      <w:r>
        <w:rPr>
          <w:rFonts w:ascii="Arial" w:cs="Arial" w:hAnsi="Arial"/>
        </w:rPr>
        <w:t>Manter sigilo, não reproduzindo, divulgando ou utilizando em benefício próprio, ou de terceiros, sob pena de responsabilidade civil, penal e administrativa, sobre toda e qualquer assunto de interesse do Município ou de terceiros de que tomar conhecimento em razão do objeto contratual.</w:t>
      </w:r>
    </w:p>
    <w:p>
      <w:pPr>
        <w:pStyle w:val="style39"/>
        <w:spacing w:after="0" w:before="0"/>
        <w:ind w:hanging="0" w:left="862" w:right="0"/>
        <w:contextualSpacing w:val="false"/>
      </w:pPr>
      <w:r>
        <w:rPr/>
      </w:r>
    </w:p>
    <w:p>
      <w:pPr>
        <w:pStyle w:val="style39"/>
        <w:spacing w:after="0" w:before="0"/>
        <w:ind w:hanging="0" w:left="862" w:right="0"/>
        <w:contextualSpacing w:val="false"/>
      </w:pPr>
      <w:r>
        <w:rPr/>
      </w:r>
    </w:p>
    <w:p>
      <w:pPr>
        <w:pStyle w:val="style39"/>
        <w:spacing w:after="0" w:before="0"/>
        <w:ind w:hanging="0" w:left="0" w:right="0"/>
        <w:contextualSpacing w:val="false"/>
      </w:pPr>
      <w:bookmarkStart w:id="83" w:name="_Toc79806219"/>
      <w:bookmarkStart w:id="84" w:name="_Toc183324550"/>
      <w:bookmarkStart w:id="85" w:name="_Toc183345838"/>
      <w:bookmarkStart w:id="86" w:name="_Toc273265031"/>
      <w:bookmarkStart w:id="87" w:name="_Toc273265255"/>
      <w:bookmarkStart w:id="88" w:name="_Toc273265393"/>
      <w:bookmarkStart w:id="89" w:name="_Toc273277772"/>
      <w:bookmarkEnd w:id="83"/>
      <w:bookmarkEnd w:id="84"/>
      <w:bookmarkEnd w:id="85"/>
      <w:bookmarkEnd w:id="86"/>
      <w:bookmarkEnd w:id="87"/>
      <w:bookmarkEnd w:id="88"/>
      <w:bookmarkEnd w:id="89"/>
      <w:r>
        <w:rPr>
          <w:rFonts w:cs="Arial"/>
          <w:b/>
          <w:sz w:val="24"/>
          <w:szCs w:val="24"/>
        </w:rPr>
        <w:t>15.  SANÇÕES ADMINISTRATIVAS</w:t>
      </w:r>
    </w:p>
    <w:p>
      <w:pPr>
        <w:pStyle w:val="style39"/>
        <w:spacing w:after="0" w:before="0"/>
        <w:ind w:hanging="0" w:left="502" w:right="0"/>
        <w:contextualSpacing w:val="false"/>
      </w:pPr>
      <w:r>
        <w:rPr/>
      </w:r>
    </w:p>
    <w:p>
      <w:pPr>
        <w:pStyle w:val="style39"/>
        <w:spacing w:after="0" w:before="0"/>
        <w:ind w:hanging="0" w:left="0" w:right="0"/>
        <w:contextualSpacing w:val="false"/>
      </w:pPr>
      <w:r>
        <w:rPr>
          <w:rFonts w:cs="Arial"/>
          <w:b/>
          <w:sz w:val="24"/>
          <w:szCs w:val="24"/>
        </w:rPr>
        <w:tab/>
      </w:r>
      <w:r>
        <w:rPr>
          <w:rFonts w:cs="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style39"/>
        <w:numPr>
          <w:ilvl w:val="0"/>
          <w:numId w:val="9"/>
        </w:numPr>
        <w:spacing w:after="0" w:before="0"/>
        <w:contextualSpacing w:val="false"/>
      </w:pPr>
      <w:r>
        <w:rPr>
          <w:rFonts w:cs="Arial"/>
          <w:sz w:val="24"/>
          <w:szCs w:val="24"/>
        </w:rPr>
        <w:t>Advertência:</w:t>
      </w:r>
    </w:p>
    <w:p>
      <w:pPr>
        <w:pStyle w:val="style39"/>
        <w:numPr>
          <w:ilvl w:val="1"/>
          <w:numId w:val="9"/>
        </w:numPr>
        <w:spacing w:after="0" w:before="0"/>
        <w:contextualSpacing w:val="false"/>
      </w:pPr>
      <w:r>
        <w:rPr>
          <w:rFonts w:cs="Arial"/>
          <w:sz w:val="24"/>
          <w:szCs w:val="24"/>
        </w:rPr>
        <w:t>Poderá ser aplicada nos casos em que a Contratada seja primária na infração cometida.  A Secretaria Municipal de Obras, a seu critério, poderá decidir pela notificação formal, advertindo a Contratada de que, em caso de reincidências as sanções pecuniárias, previstas, lhes serão aplicadas.</w:t>
      </w:r>
    </w:p>
    <w:p>
      <w:pPr>
        <w:pStyle w:val="style39"/>
        <w:numPr>
          <w:ilvl w:val="0"/>
          <w:numId w:val="9"/>
        </w:numPr>
        <w:spacing w:after="0" w:before="0"/>
        <w:contextualSpacing w:val="false"/>
      </w:pPr>
      <w:r>
        <w:rPr>
          <w:rFonts w:cs="Arial"/>
          <w:sz w:val="24"/>
          <w:szCs w:val="24"/>
        </w:rPr>
        <w:t>Multa poderá ser aplicada pela Secretaria Municipal de Obras, quando do cometimento das seguintes infrações:</w:t>
      </w:r>
    </w:p>
    <w:p>
      <w:pPr>
        <w:pStyle w:val="style39"/>
        <w:numPr>
          <w:ilvl w:val="1"/>
          <w:numId w:val="9"/>
        </w:numPr>
        <w:spacing w:after="0" w:before="0"/>
        <w:contextualSpacing w:val="false"/>
      </w:pPr>
      <w:r>
        <w:rPr>
          <w:rFonts w:cs="Arial"/>
          <w:sz w:val="24"/>
          <w:szCs w:val="24"/>
        </w:rPr>
        <w:t>Não cumprimento no todo ou em parte do contido neste projeto;</w:t>
      </w:r>
    </w:p>
    <w:p>
      <w:pPr>
        <w:pStyle w:val="style39"/>
        <w:numPr>
          <w:ilvl w:val="1"/>
          <w:numId w:val="9"/>
        </w:numPr>
        <w:spacing w:after="0" w:before="0"/>
        <w:contextualSpacing w:val="false"/>
      </w:pPr>
      <w:r>
        <w:rPr>
          <w:rFonts w:cs="Arial"/>
          <w:sz w:val="24"/>
          <w:szCs w:val="24"/>
        </w:rPr>
        <w:t>Falta de apólice de seguro obrigatório, quando for o caso;</w:t>
      </w:r>
    </w:p>
    <w:p>
      <w:pPr>
        <w:pStyle w:val="style39"/>
        <w:numPr>
          <w:ilvl w:val="1"/>
          <w:numId w:val="9"/>
        </w:numPr>
        <w:spacing w:after="0" w:before="0"/>
        <w:contextualSpacing w:val="false"/>
      </w:pPr>
      <w:r>
        <w:rPr>
          <w:rFonts w:cs="Arial"/>
          <w:sz w:val="24"/>
          <w:szCs w:val="24"/>
        </w:rPr>
        <w:t>Desautorizar ordens ou recusar documentos da fiscalização;</w:t>
      </w:r>
    </w:p>
    <w:p>
      <w:pPr>
        <w:pStyle w:val="style39"/>
        <w:numPr>
          <w:ilvl w:val="1"/>
          <w:numId w:val="9"/>
        </w:numPr>
        <w:spacing w:after="0" w:before="0"/>
        <w:contextualSpacing w:val="false"/>
      </w:pPr>
      <w:r>
        <w:rPr>
          <w:rFonts w:cs="Arial"/>
          <w:sz w:val="24"/>
          <w:szCs w:val="24"/>
        </w:rPr>
        <w:t>Descumprir, na execução dos serviços, as especificações técnicas estabelecidas neste projeto, bem como em qualquer norma técnica oficial vinculante;</w:t>
      </w:r>
    </w:p>
    <w:p>
      <w:pPr>
        <w:pStyle w:val="style39"/>
        <w:numPr>
          <w:ilvl w:val="1"/>
          <w:numId w:val="9"/>
        </w:numPr>
        <w:spacing w:after="0" w:before="0"/>
        <w:contextualSpacing w:val="false"/>
      </w:pPr>
      <w:r>
        <w:rPr>
          <w:rFonts w:cs="Arial"/>
          <w:sz w:val="24"/>
          <w:szCs w:val="24"/>
        </w:rPr>
        <w:t>Deixar de observar, na execução dos serviços exigências das legislações do Município, do Estado ou Federal;</w:t>
      </w:r>
    </w:p>
    <w:p>
      <w:pPr>
        <w:pStyle w:val="style39"/>
        <w:numPr>
          <w:ilvl w:val="1"/>
          <w:numId w:val="9"/>
        </w:numPr>
        <w:spacing w:after="0" w:before="0"/>
        <w:contextualSpacing w:val="false"/>
      </w:pPr>
      <w:r>
        <w:rPr>
          <w:rFonts w:cs="Arial"/>
          <w:sz w:val="24"/>
          <w:szCs w:val="24"/>
        </w:rPr>
        <w:t>Manutenção em serviço de empregados cujo afastamento tenha sido exigido pela Fiscalização, na forma prevista no contrato;</w:t>
      </w:r>
    </w:p>
    <w:p>
      <w:pPr>
        <w:pStyle w:val="style39"/>
        <w:numPr>
          <w:ilvl w:val="1"/>
          <w:numId w:val="9"/>
        </w:numPr>
        <w:spacing w:after="0" w:before="0"/>
        <w:contextualSpacing w:val="false"/>
      </w:pPr>
      <w:r>
        <w:rPr>
          <w:rFonts w:cs="Arial"/>
          <w:sz w:val="24"/>
          <w:szCs w:val="24"/>
        </w:rPr>
        <w:t xml:space="preserve">Constatação da ingestão de bebidas alcoólicas e uso de narcóticos por servidores da contratada, quando em serviço; </w:t>
      </w:r>
    </w:p>
    <w:p>
      <w:pPr>
        <w:pStyle w:val="style39"/>
        <w:numPr>
          <w:ilvl w:val="1"/>
          <w:numId w:val="9"/>
        </w:numPr>
        <w:spacing w:after="0" w:before="0"/>
        <w:contextualSpacing w:val="false"/>
      </w:pPr>
      <w:r>
        <w:rPr>
          <w:rFonts w:cs="Arial"/>
          <w:sz w:val="24"/>
          <w:szCs w:val="24"/>
        </w:rPr>
        <w:t>Deixar de cumprir, sem motivo justificado, os prazos parciais ou totais pactuados;</w:t>
      </w:r>
    </w:p>
    <w:p>
      <w:pPr>
        <w:pStyle w:val="style39"/>
        <w:numPr>
          <w:ilvl w:val="1"/>
          <w:numId w:val="9"/>
        </w:numPr>
        <w:spacing w:after="0" w:before="0"/>
        <w:contextualSpacing w:val="false"/>
      </w:pPr>
      <w:r>
        <w:rPr>
          <w:rFonts w:cs="Arial"/>
          <w:sz w:val="24"/>
          <w:szCs w:val="24"/>
        </w:rPr>
        <w:t>Manter servidor no horário de trabalho sem o uniforme estabelecido;</w:t>
      </w:r>
    </w:p>
    <w:p>
      <w:pPr>
        <w:pStyle w:val="style39"/>
        <w:numPr>
          <w:ilvl w:val="1"/>
          <w:numId w:val="9"/>
        </w:numPr>
        <w:spacing w:after="0" w:before="0"/>
        <w:contextualSpacing w:val="false"/>
      </w:pPr>
      <w:r>
        <w:rPr>
          <w:rFonts w:cs="Arial"/>
          <w:sz w:val="24"/>
          <w:szCs w:val="24"/>
        </w:rPr>
        <w:t>Incontinência pública de qualquer preposto da Contratada;</w:t>
      </w:r>
    </w:p>
    <w:p>
      <w:pPr>
        <w:pStyle w:val="style39"/>
        <w:numPr>
          <w:ilvl w:val="1"/>
          <w:numId w:val="9"/>
        </w:numPr>
        <w:spacing w:after="0" w:before="0"/>
        <w:contextualSpacing w:val="false"/>
      </w:pPr>
      <w:r>
        <w:rPr>
          <w:rFonts w:cs="Arial"/>
          <w:sz w:val="24"/>
          <w:szCs w:val="24"/>
        </w:rPr>
        <w:t>Deixar de apresentar à fiscalização da execução contratual, quando solicitada, documentação exigida por lei;</w:t>
      </w:r>
    </w:p>
    <w:p>
      <w:pPr>
        <w:pStyle w:val="style39"/>
        <w:numPr>
          <w:ilvl w:val="1"/>
          <w:numId w:val="9"/>
        </w:numPr>
        <w:spacing w:after="0" w:before="0"/>
        <w:contextualSpacing w:val="false"/>
      </w:pPr>
      <w:r>
        <w:rPr>
          <w:rFonts w:cs="Arial"/>
          <w:sz w:val="24"/>
          <w:szCs w:val="24"/>
        </w:rPr>
        <w:t>Não fixar em local regulamentar ou manter encobertos documentos cuja exibição seja exigível por Lei;</w:t>
      </w:r>
    </w:p>
    <w:p>
      <w:pPr>
        <w:pStyle w:val="style39"/>
        <w:numPr>
          <w:ilvl w:val="1"/>
          <w:numId w:val="9"/>
        </w:numPr>
        <w:spacing w:after="0" w:before="0"/>
        <w:contextualSpacing w:val="false"/>
      </w:pPr>
      <w:r>
        <w:rPr>
          <w:rFonts w:cs="Arial"/>
          <w:sz w:val="24"/>
          <w:szCs w:val="24"/>
        </w:rPr>
        <w:t>Deixar de designar preposto para acompanhar a execução da obra, nos termos do disposto no art. 68 da Lei Nacional nº 8.666/93;</w:t>
      </w:r>
    </w:p>
    <w:p>
      <w:pPr>
        <w:pStyle w:val="style39"/>
        <w:numPr>
          <w:ilvl w:val="1"/>
          <w:numId w:val="9"/>
        </w:numPr>
        <w:spacing w:after="0" w:before="0"/>
        <w:contextualSpacing w:val="false"/>
      </w:pPr>
      <w:r>
        <w:rPr>
          <w:rFonts w:cs="Arial"/>
          <w:sz w:val="24"/>
          <w:szCs w:val="24"/>
        </w:rPr>
        <w:t>Deixar de fornecer uniformes, calçados padronizados e equipamentos de proteção individual, conforme exigências das leis trabalhistas;</w:t>
      </w:r>
    </w:p>
    <w:p>
      <w:pPr>
        <w:pStyle w:val="style39"/>
        <w:numPr>
          <w:ilvl w:val="1"/>
          <w:numId w:val="9"/>
        </w:numPr>
        <w:spacing w:after="0" w:before="0"/>
        <w:contextualSpacing w:val="false"/>
      </w:pPr>
      <w:r>
        <w:rPr>
          <w:rFonts w:cs="Arial"/>
          <w:sz w:val="24"/>
          <w:szCs w:val="24"/>
        </w:rPr>
        <w:t>Deixar de promover a identificação de seus empregados na forma que vier a ser estabelecida pela fiscalização;</w:t>
      </w:r>
    </w:p>
    <w:p>
      <w:pPr>
        <w:pStyle w:val="style39"/>
        <w:numPr>
          <w:ilvl w:val="1"/>
          <w:numId w:val="9"/>
        </w:numPr>
        <w:spacing w:after="0" w:before="0"/>
        <w:contextualSpacing w:val="false"/>
      </w:pPr>
      <w:r>
        <w:rPr>
          <w:rFonts w:cs="Arial"/>
          <w:sz w:val="24"/>
          <w:szCs w:val="24"/>
        </w:rPr>
        <w:t xml:space="preserve">Deixar de cumprir qualquer determinação da Lei n.º 6.514, de 22 de dezembro de 1997, e das demais normas que regulamentam a segurança e medicina do trabalho, aplicáveis aos </w:t>
      </w:r>
      <w:bookmarkStart w:id="90" w:name="Texto127"/>
      <w:r>
        <w:rPr>
          <w:rFonts w:cs="Arial"/>
          <w:sz w:val="24"/>
          <w:szCs w:val="24"/>
        </w:rPr>
        <w:t>serviços ou obras</w:t>
      </w:r>
      <w:bookmarkEnd w:id="90"/>
      <w:r>
        <w:rPr>
          <w:rFonts w:cs="Arial"/>
          <w:sz w:val="24"/>
          <w:szCs w:val="24"/>
        </w:rPr>
        <w:t xml:space="preserve"> objeto deste Projeto;</w:t>
      </w:r>
    </w:p>
    <w:p>
      <w:pPr>
        <w:pStyle w:val="style39"/>
        <w:numPr>
          <w:ilvl w:val="1"/>
          <w:numId w:val="9"/>
        </w:numPr>
        <w:spacing w:after="0" w:before="0"/>
        <w:contextualSpacing w:val="false"/>
      </w:pPr>
      <w:r>
        <w:rPr>
          <w:rFonts w:cs="Arial"/>
          <w:sz w:val="24"/>
          <w:szCs w:val="24"/>
        </w:rPr>
        <w:t xml:space="preserve">Deixar de disponibilizar quaisquer equipamentos, instrumentos, ferramentas ou materiais necessários à realização dos </w:t>
      </w:r>
      <w:bookmarkStart w:id="91" w:name="Texto128"/>
      <w:r>
        <w:rPr>
          <w:rFonts w:cs="Arial"/>
          <w:sz w:val="24"/>
          <w:szCs w:val="24"/>
        </w:rPr>
        <w:t>serviços ou obras</w:t>
      </w:r>
      <w:bookmarkEnd w:id="91"/>
      <w:r>
        <w:rPr>
          <w:rFonts w:cs="Arial"/>
          <w:sz w:val="24"/>
          <w:szCs w:val="24"/>
        </w:rPr>
        <w:t>, cuja falta possa a vir a prejudicar o regular andamento da execução contratual;</w:t>
      </w:r>
    </w:p>
    <w:p>
      <w:pPr>
        <w:pStyle w:val="style39"/>
        <w:numPr>
          <w:ilvl w:val="1"/>
          <w:numId w:val="9"/>
        </w:numPr>
        <w:spacing w:after="0" w:before="0"/>
        <w:contextualSpacing w:val="false"/>
      </w:pPr>
      <w:r>
        <w:rPr>
          <w:rFonts w:cs="Arial"/>
          <w:sz w:val="24"/>
          <w:szCs w:val="24"/>
        </w:rPr>
        <w:t xml:space="preserve">Desfazer-se de entulhos e rejeitos dos </w:t>
      </w:r>
      <w:bookmarkStart w:id="92" w:name="Texto129"/>
      <w:r>
        <w:rPr>
          <w:rFonts w:cs="Arial"/>
          <w:sz w:val="24"/>
          <w:szCs w:val="24"/>
        </w:rPr>
        <w:t>serviços ou obras</w:t>
      </w:r>
      <w:bookmarkEnd w:id="92"/>
      <w:r>
        <w:rPr>
          <w:rFonts w:cs="Arial"/>
          <w:sz w:val="24"/>
          <w:szCs w:val="24"/>
        </w:rPr>
        <w:t xml:space="preserve"> sem a observância das normas legais que disciplinam essa prática, principalmente ao prescrito na Resolução CONAMA n.º 307.</w:t>
      </w:r>
    </w:p>
    <w:p>
      <w:pPr>
        <w:pStyle w:val="style39"/>
        <w:numPr>
          <w:ilvl w:val="0"/>
          <w:numId w:val="9"/>
        </w:numPr>
        <w:spacing w:after="0" w:before="0"/>
        <w:contextualSpacing w:val="false"/>
      </w:pPr>
      <w:r>
        <w:rPr>
          <w:rFonts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style39"/>
        <w:numPr>
          <w:ilvl w:val="0"/>
          <w:numId w:val="9"/>
        </w:numPr>
        <w:spacing w:after="0" w:before="0"/>
        <w:contextualSpacing w:val="false"/>
      </w:pPr>
      <w:r>
        <w:rPr>
          <w:rFonts w:cs="Arial"/>
          <w:sz w:val="24"/>
          <w:szCs w:val="24"/>
        </w:rPr>
        <w:t>Declaração de inidoneidade.A pena de declaração de inidoneidade aplicar-se-á nos casos de:</w:t>
      </w:r>
    </w:p>
    <w:p>
      <w:pPr>
        <w:pStyle w:val="style39"/>
        <w:numPr>
          <w:ilvl w:val="1"/>
          <w:numId w:val="9"/>
        </w:numPr>
        <w:spacing w:after="0" w:before="0"/>
        <w:contextualSpacing w:val="false"/>
      </w:pPr>
      <w:r>
        <w:rPr>
          <w:rFonts w:cs="Arial"/>
          <w:sz w:val="24"/>
          <w:szCs w:val="24"/>
        </w:rPr>
        <w:t>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pStyle w:val="style39"/>
        <w:numPr>
          <w:ilvl w:val="1"/>
          <w:numId w:val="9"/>
        </w:numPr>
        <w:spacing w:after="0" w:before="0"/>
        <w:contextualSpacing w:val="false"/>
      </w:pPr>
      <w:r>
        <w:rPr>
          <w:rFonts w:cs="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style39"/>
        <w:numPr>
          <w:ilvl w:val="1"/>
          <w:numId w:val="9"/>
        </w:numPr>
        <w:spacing w:after="0" w:before="0"/>
        <w:contextualSpacing w:val="false"/>
      </w:pPr>
      <w:r>
        <w:rPr>
          <w:rFonts w:cs="Arial"/>
          <w:sz w:val="24"/>
          <w:szCs w:val="24"/>
        </w:rPr>
        <w:t>Prática de atos ilícitos visando a frustrar os objetivos da licitação;</w:t>
      </w:r>
    </w:p>
    <w:p>
      <w:pPr>
        <w:pStyle w:val="style39"/>
        <w:numPr>
          <w:ilvl w:val="1"/>
          <w:numId w:val="9"/>
        </w:numPr>
        <w:spacing w:after="0" w:before="0"/>
        <w:contextualSpacing w:val="false"/>
      </w:pPr>
      <w:r>
        <w:rPr>
          <w:rFonts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pStyle w:val="style39"/>
        <w:numPr>
          <w:ilvl w:val="1"/>
          <w:numId w:val="9"/>
        </w:numPr>
        <w:spacing w:after="0" w:before="0"/>
        <w:contextualSpacing w:val="false"/>
      </w:pPr>
      <w:r>
        <w:rPr>
          <w:rFonts w:cs="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style39"/>
        <w:numPr>
          <w:ilvl w:val="1"/>
          <w:numId w:val="9"/>
        </w:numPr>
        <w:spacing w:after="0" w:before="0"/>
        <w:contextualSpacing w:val="false"/>
      </w:pPr>
      <w:r>
        <w:rPr>
          <w:rFonts w:cs="Arial"/>
          <w:sz w:val="24"/>
          <w:szCs w:val="24"/>
        </w:rPr>
        <w:t>Pela inexecução total ou parcial do contrato de acordo com o art. 87, iv da lei 8666/93.</w:t>
      </w:r>
    </w:p>
    <w:p>
      <w:pPr>
        <w:pStyle w:val="style39"/>
        <w:spacing w:after="0" w:before="0"/>
        <w:ind w:hanging="0" w:left="1582" w:right="0"/>
        <w:contextualSpacing w:val="false"/>
      </w:pPr>
      <w:r>
        <w:rPr/>
      </w:r>
    </w:p>
    <w:p>
      <w:pPr>
        <w:pStyle w:val="style39"/>
        <w:numPr>
          <w:ilvl w:val="3"/>
          <w:numId w:val="9"/>
        </w:numPr>
        <w:spacing w:after="0" w:before="0"/>
        <w:ind w:hanging="360" w:left="426" w:right="0"/>
        <w:contextualSpacing w:val="false"/>
      </w:pPr>
      <w:bookmarkStart w:id="93" w:name="_Toc273277777"/>
      <w:bookmarkStart w:id="94" w:name="_Toc273265398"/>
      <w:bookmarkStart w:id="95" w:name="_Toc273265260"/>
      <w:bookmarkStart w:id="96" w:name="_Toc273265036"/>
      <w:bookmarkStart w:id="97" w:name="_Toc183345843"/>
      <w:bookmarkStart w:id="98" w:name="_Toc183324555"/>
      <w:r>
        <w:rPr>
          <w:rFonts w:cs="Arial"/>
          <w:b/>
          <w:sz w:val="24"/>
          <w:szCs w:val="24"/>
        </w:rPr>
        <w:t xml:space="preserve">  </w:t>
      </w:r>
      <w:bookmarkEnd w:id="93"/>
      <w:bookmarkEnd w:id="94"/>
      <w:bookmarkEnd w:id="95"/>
      <w:bookmarkEnd w:id="96"/>
      <w:bookmarkEnd w:id="97"/>
      <w:bookmarkEnd w:id="98"/>
      <w:r>
        <w:rPr>
          <w:rFonts w:cs="Arial"/>
          <w:b/>
          <w:sz w:val="24"/>
          <w:szCs w:val="24"/>
        </w:rPr>
        <w:t>OUTRAS CONSIDERAÇÕES SOBRE INFRAÇÕES</w:t>
      </w:r>
    </w:p>
    <w:p>
      <w:pPr>
        <w:pStyle w:val="style39"/>
        <w:spacing w:after="0" w:before="0"/>
        <w:ind w:hanging="0" w:left="426" w:right="0"/>
        <w:contextualSpacing w:val="false"/>
      </w:pPr>
      <w:r>
        <w:rPr/>
      </w:r>
    </w:p>
    <w:p>
      <w:pPr>
        <w:pStyle w:val="style39"/>
        <w:spacing w:after="0" w:before="0"/>
        <w:ind w:hanging="0" w:left="0" w:right="0"/>
        <w:contextualSpacing w:val="false"/>
      </w:pPr>
      <w:r>
        <w:rPr>
          <w:rFonts w:cs="Arial"/>
          <w:sz w:val="24"/>
          <w:szCs w:val="24"/>
        </w:rPr>
        <w:tab/>
        <w:t>Cometidas, simultaneamente, duas ou mais infrações, aplicar-se-á a penalidade correspondente a cada uma delas.</w:t>
      </w:r>
    </w:p>
    <w:p>
      <w:pPr>
        <w:pStyle w:val="style39"/>
        <w:spacing w:after="0" w:before="0"/>
        <w:ind w:hanging="0" w:left="0" w:right="0"/>
        <w:contextualSpacing w:val="false"/>
      </w:pPr>
      <w:r>
        <w:rPr>
          <w:rFonts w:cs="Arial"/>
          <w:sz w:val="24"/>
          <w:szCs w:val="24"/>
        </w:rPr>
        <w:tab/>
        <w:t>Havendo reincidência, quando a mesma infração for cometida pela Contratada no período de 2 (dois) meses, a pena pecuniária correspondente será acrescida de mais 5 % (cinco), sobre o valor estabelecido.</w:t>
      </w:r>
    </w:p>
    <w:p>
      <w:pPr>
        <w:pStyle w:val="style39"/>
        <w:spacing w:after="0" w:before="0"/>
        <w:ind w:hanging="0" w:left="0" w:right="0"/>
        <w:contextualSpacing w:val="false"/>
      </w:pPr>
      <w:r>
        <w:rPr>
          <w:rFonts w:cs="Arial"/>
          <w:sz w:val="24"/>
          <w:szCs w:val="24"/>
        </w:rPr>
        <w:tab/>
        <w:t>Autuada a infração a Contratada será formalmente notificada e receberá a segunda via do auto de infração em até 2 (dois) dias.</w:t>
      </w:r>
    </w:p>
    <w:p>
      <w:pPr>
        <w:pStyle w:val="style39"/>
        <w:spacing w:after="0" w:before="0"/>
        <w:ind w:hanging="0" w:left="0" w:right="0"/>
        <w:contextualSpacing w:val="false"/>
      </w:pPr>
      <w:r>
        <w:rPr>
          <w:rFonts w:cs="Arial"/>
          <w:sz w:val="24"/>
          <w:szCs w:val="24"/>
        </w:rPr>
        <w:tab/>
        <w:t>De cada infração caberá recurso, a ser interposto no prazo de 05 (cinco) dias úteis, a contar da notificação, com efeito suspensivo.</w:t>
      </w:r>
    </w:p>
    <w:p>
      <w:pPr>
        <w:pStyle w:val="style39"/>
        <w:spacing w:after="0" w:before="0"/>
        <w:ind w:hanging="0" w:left="0" w:right="0"/>
        <w:contextualSpacing w:val="false"/>
      </w:pPr>
      <w:r>
        <w:rPr>
          <w:rFonts w:cs="Arial"/>
          <w:sz w:val="24"/>
          <w:szCs w:val="24"/>
        </w:rPr>
        <w:tab/>
        <w:t>Os recursos de infrações serão julgados por Comissão designada pela Secretaria Municipal de Obras, com número mínimo de 2 (dois) membros efetivos e igual número de suplentes;</w:t>
      </w:r>
    </w:p>
    <w:p>
      <w:pPr>
        <w:pStyle w:val="style39"/>
        <w:spacing w:after="0" w:before="0"/>
        <w:ind w:hanging="0" w:left="0" w:right="0"/>
        <w:contextualSpacing w:val="false"/>
      </w:pPr>
      <w:r>
        <w:rPr>
          <w:rFonts w:cs="Arial"/>
          <w:sz w:val="24"/>
          <w:szCs w:val="24"/>
        </w:rPr>
        <w:tab/>
        <w:t xml:space="preserve">Da decisão denegatória da Comissão cabe recurso a </w:t>
      </w:r>
      <w:bookmarkStart w:id="99" w:name="Texto102"/>
      <w:r>
        <w:rPr>
          <w:rFonts w:cs="Arial"/>
          <w:sz w:val="24"/>
          <w:szCs w:val="24"/>
        </w:rPr>
        <w:t>autoridade máxima do Município</w:t>
      </w:r>
      <w:bookmarkEnd w:id="99"/>
      <w:r>
        <w:rPr>
          <w:rFonts w:cs="Arial"/>
          <w:sz w:val="24"/>
          <w:szCs w:val="24"/>
        </w:rPr>
        <w:t>, ainda com efeito suspensivo além de obrigatoriedade de caução, correspondente ao valor da multa, no prazo de 5 (cinco) dias, a contar do conhecimento da denegação recurso.</w:t>
      </w:r>
    </w:p>
    <w:p>
      <w:pPr>
        <w:pStyle w:val="style39"/>
        <w:spacing w:after="0" w:before="0"/>
        <w:ind w:hanging="0" w:left="0" w:right="0"/>
        <w:contextualSpacing w:val="false"/>
      </w:pPr>
      <w:r>
        <w:rPr>
          <w:rFonts w:cs="Arial"/>
          <w:sz w:val="24"/>
          <w:szCs w:val="24"/>
        </w:rPr>
        <w:tab/>
        <w:t>A Contratada terá o prazo de 5 (cinco) dias para o pagamento da multa, contados do recebimento da notificação da aplicação da mesma, se não houver apresentado recurso no prazo estabelecido, ou do trânsito em julgado do recurso interposto;</w:t>
      </w:r>
    </w:p>
    <w:p>
      <w:pPr>
        <w:pStyle w:val="style39"/>
        <w:spacing w:after="0" w:before="0"/>
        <w:ind w:hanging="0" w:left="0" w:right="0"/>
        <w:contextualSpacing w:val="false"/>
      </w:pPr>
      <w:r>
        <w:rPr>
          <w:rFonts w:cs="Arial"/>
          <w:sz w:val="24"/>
          <w:szCs w:val="24"/>
        </w:rPr>
        <w:tab/>
        <w:t>A autuação da infração não desobriga à Contratada de sanar imediatamente a falta que lhe deu origem.</w:t>
      </w:r>
    </w:p>
    <w:p>
      <w:pPr>
        <w:pStyle w:val="style39"/>
        <w:spacing w:after="0" w:before="0"/>
        <w:ind w:hanging="0" w:left="0" w:right="0"/>
        <w:contextualSpacing w:val="false"/>
      </w:pPr>
      <w:r>
        <w:rPr/>
      </w:r>
    </w:p>
    <w:p>
      <w:pPr>
        <w:pStyle w:val="style39"/>
        <w:spacing w:after="0" w:before="0"/>
        <w:ind w:hanging="0" w:left="0" w:right="0"/>
        <w:contextualSpacing w:val="false"/>
      </w:pPr>
      <w:r>
        <w:rPr>
          <w:rFonts w:cs="Arial"/>
          <w:b/>
          <w:sz w:val="24"/>
          <w:szCs w:val="24"/>
        </w:rPr>
        <w:t xml:space="preserve">18.  </w:t>
      </w:r>
      <w:bookmarkStart w:id="100" w:name="_Toc79806220"/>
      <w:bookmarkStart w:id="101" w:name="_Toc183324556"/>
      <w:bookmarkStart w:id="102" w:name="_Toc183345844"/>
      <w:bookmarkStart w:id="103" w:name="_Toc273265037"/>
      <w:bookmarkStart w:id="104" w:name="_Toc273265261"/>
      <w:bookmarkStart w:id="105" w:name="_Toc273265399"/>
      <w:bookmarkStart w:id="106" w:name="_Toc273277778"/>
      <w:bookmarkEnd w:id="100"/>
      <w:bookmarkEnd w:id="101"/>
      <w:bookmarkEnd w:id="102"/>
      <w:bookmarkEnd w:id="103"/>
      <w:bookmarkEnd w:id="104"/>
      <w:bookmarkEnd w:id="105"/>
      <w:bookmarkEnd w:id="106"/>
      <w:r>
        <w:rPr>
          <w:rFonts w:cs="Arial"/>
          <w:b/>
          <w:sz w:val="24"/>
          <w:szCs w:val="24"/>
        </w:rPr>
        <w:t>PLANTAS, PLANILHAS E RELATÓRIO QUE COMPÕE O PROJETO</w:t>
      </w:r>
    </w:p>
    <w:p>
      <w:pPr>
        <w:pStyle w:val="style39"/>
        <w:spacing w:after="0" w:before="0"/>
        <w:ind w:hanging="0" w:left="284" w:right="0"/>
        <w:contextualSpacing w:val="false"/>
        <w:jc w:val="left"/>
      </w:pPr>
      <w:r>
        <w:rPr/>
      </w:r>
    </w:p>
    <w:p>
      <w:pPr>
        <w:pStyle w:val="style39"/>
        <w:numPr>
          <w:ilvl w:val="0"/>
          <w:numId w:val="10"/>
        </w:numPr>
        <w:spacing w:after="0" w:before="0"/>
        <w:contextualSpacing w:val="false"/>
      </w:pPr>
      <w:r>
        <w:rPr>
          <w:rFonts w:cs="Arial"/>
          <w:sz w:val="24"/>
          <w:szCs w:val="24"/>
        </w:rPr>
        <w:t>Memoriais Descritivos;</w:t>
      </w:r>
    </w:p>
    <w:p>
      <w:pPr>
        <w:pStyle w:val="style39"/>
        <w:numPr>
          <w:ilvl w:val="0"/>
          <w:numId w:val="10"/>
        </w:numPr>
        <w:spacing w:after="0" w:before="0"/>
        <w:contextualSpacing w:val="false"/>
      </w:pPr>
      <w:r>
        <w:rPr>
          <w:rFonts w:cs="Arial"/>
          <w:sz w:val="24"/>
          <w:szCs w:val="24"/>
        </w:rPr>
        <w:t>Orçamento Sintético;</w:t>
      </w:r>
    </w:p>
    <w:p>
      <w:pPr>
        <w:pStyle w:val="style39"/>
        <w:numPr>
          <w:ilvl w:val="0"/>
          <w:numId w:val="10"/>
        </w:numPr>
        <w:spacing w:after="0" w:before="0"/>
        <w:contextualSpacing w:val="false"/>
      </w:pPr>
      <w:r>
        <w:rPr>
          <w:rFonts w:cs="Arial"/>
          <w:sz w:val="24"/>
          <w:szCs w:val="24"/>
        </w:rPr>
        <w:t>Orçamento Analítico;</w:t>
      </w:r>
    </w:p>
    <w:p>
      <w:pPr>
        <w:pStyle w:val="style39"/>
        <w:numPr>
          <w:ilvl w:val="0"/>
          <w:numId w:val="10"/>
        </w:numPr>
        <w:spacing w:after="0" w:before="0"/>
        <w:contextualSpacing w:val="false"/>
      </w:pPr>
      <w:r>
        <w:rPr>
          <w:rFonts w:cs="Arial"/>
          <w:sz w:val="24"/>
          <w:szCs w:val="24"/>
        </w:rPr>
        <w:t>Memoriais de Cálculo;</w:t>
      </w:r>
    </w:p>
    <w:p>
      <w:pPr>
        <w:pStyle w:val="style39"/>
        <w:numPr>
          <w:ilvl w:val="0"/>
          <w:numId w:val="10"/>
        </w:numPr>
        <w:spacing w:after="0" w:before="0"/>
        <w:contextualSpacing w:val="false"/>
      </w:pPr>
      <w:r>
        <w:rPr>
          <w:rFonts w:cs="Arial"/>
          <w:sz w:val="24"/>
          <w:szCs w:val="24"/>
        </w:rPr>
        <w:t>Composição de BDI (Benefícios e despesas indiretas);</w:t>
      </w:r>
    </w:p>
    <w:p>
      <w:pPr>
        <w:pStyle w:val="style39"/>
        <w:numPr>
          <w:ilvl w:val="0"/>
          <w:numId w:val="10"/>
        </w:numPr>
        <w:spacing w:after="0" w:before="0"/>
        <w:contextualSpacing w:val="false"/>
      </w:pPr>
      <w:r>
        <w:rPr>
          <w:rFonts w:cs="Arial"/>
          <w:sz w:val="24"/>
          <w:szCs w:val="24"/>
        </w:rPr>
        <w:t>Pranchas 1.0;</w:t>
      </w:r>
    </w:p>
    <w:p>
      <w:pPr>
        <w:pStyle w:val="style39"/>
        <w:numPr>
          <w:ilvl w:val="0"/>
          <w:numId w:val="10"/>
        </w:numPr>
        <w:spacing w:after="0" w:before="0"/>
        <w:contextualSpacing w:val="false"/>
      </w:pPr>
      <w:r>
        <w:rPr>
          <w:rFonts w:cs="Arial"/>
          <w:sz w:val="24"/>
          <w:szCs w:val="24"/>
        </w:rPr>
        <w:t xml:space="preserve"> </w:t>
      </w:r>
      <w:r>
        <w:rPr>
          <w:rFonts w:cs="Arial"/>
          <w:sz w:val="24"/>
          <w:szCs w:val="24"/>
        </w:rPr>
        <w:t>Composição de Custo Unitário de Serviços</w:t>
      </w:r>
    </w:p>
    <w:p>
      <w:pPr>
        <w:pStyle w:val="style39"/>
        <w:spacing w:after="0" w:before="0"/>
        <w:contextualSpacing w:val="false"/>
      </w:pPr>
      <w:r>
        <w:rPr/>
      </w:r>
    </w:p>
    <w:p>
      <w:pPr>
        <w:pStyle w:val="style39"/>
        <w:spacing w:after="0" w:before="0"/>
        <w:ind w:hanging="0" w:left="142" w:right="0"/>
        <w:contextualSpacing w:val="false"/>
      </w:pPr>
      <w:r>
        <w:rPr>
          <w:rFonts w:cs="Arial"/>
          <w:b/>
          <w:sz w:val="24"/>
          <w:szCs w:val="24"/>
        </w:rPr>
        <w:t>19.   DAS DEFINIÇÕES GERAIS:</w:t>
      </w:r>
    </w:p>
    <w:p>
      <w:pPr>
        <w:pStyle w:val="style39"/>
        <w:spacing w:after="0" w:before="0"/>
        <w:ind w:hanging="0" w:left="142" w:right="0"/>
        <w:contextualSpacing w:val="false"/>
      </w:pPr>
      <w:r>
        <w:rPr/>
      </w:r>
    </w:p>
    <w:p>
      <w:pPr>
        <w:pStyle w:val="style39"/>
        <w:spacing w:after="0" w:before="0"/>
        <w:ind w:hanging="0" w:left="0" w:right="0"/>
        <w:contextualSpacing w:val="false"/>
      </w:pPr>
      <w:r>
        <w:rPr>
          <w:rFonts w:cs="Arial"/>
          <w:sz w:val="24"/>
          <w:szCs w:val="24"/>
        </w:rPr>
        <w:tab/>
        <w:t>CONTRATANTE: PREFEITURA MUNICIPAL DE ITABORAÍ</w:t>
      </w:r>
    </w:p>
    <w:p>
      <w:pPr>
        <w:pStyle w:val="style39"/>
        <w:spacing w:after="0" w:before="0"/>
        <w:ind w:hanging="0" w:left="0" w:right="0"/>
        <w:contextualSpacing w:val="false"/>
      </w:pPr>
      <w:r>
        <w:rPr>
          <w:rFonts w:cs="Arial"/>
          <w:sz w:val="24"/>
          <w:szCs w:val="24"/>
        </w:rPr>
        <w:tab/>
        <w:t>CONTRATADA: EMPRESA VENCEDORA DO CERTAME LICITATÓRIO.</w:t>
      </w:r>
    </w:p>
    <w:p>
      <w:pPr>
        <w:pStyle w:val="style39"/>
        <w:spacing w:after="0" w:before="0"/>
        <w:ind w:hanging="0" w:left="0" w:right="0"/>
        <w:contextualSpacing w:val="false"/>
      </w:pPr>
      <w:r>
        <w:rPr>
          <w:rFonts w:cs="Arial"/>
          <w:sz w:val="24"/>
          <w:szCs w:val="24"/>
        </w:rPr>
        <w:tab/>
        <w:t>Fiscal de Contrato – preposto designado pela CONTRATANTE, sendo profissional devidamente habilitado, engenheiro civil ou arquiteto, inerente a acompanhar o objeto contratado, para exercer a fiscalização do contrato.</w:t>
      </w:r>
    </w:p>
    <w:p>
      <w:pPr>
        <w:pStyle w:val="style39"/>
        <w:spacing w:after="0" w:before="0"/>
        <w:ind w:hanging="0" w:left="0" w:right="0"/>
        <w:contextualSpacing w:val="false"/>
      </w:pPr>
      <w:r>
        <w:rPr>
          <w:rFonts w:cs="Arial"/>
          <w:sz w:val="24"/>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style39"/>
        <w:spacing w:after="0" w:before="0"/>
        <w:ind w:hanging="0" w:left="0" w:right="0"/>
        <w:contextualSpacing w:val="false"/>
      </w:pPr>
      <w:r>
        <w:rPr>
          <w:rFonts w:cs="Arial"/>
          <w:sz w:val="24"/>
          <w:szCs w:val="24"/>
        </w:rPr>
        <w:tab/>
        <w:t>Diário de Obras: Rol de documentos devidamente arquivados em ordem cronológica onde serão registrados os eventos relevantes ocorridos durante a obra.</w:t>
      </w:r>
    </w:p>
    <w:p>
      <w:pPr>
        <w:pStyle w:val="style39"/>
        <w:spacing w:after="0" w:before="0"/>
        <w:ind w:hanging="0" w:left="0" w:right="0"/>
        <w:contextualSpacing w:val="false"/>
      </w:pPr>
      <w:r>
        <w:rPr>
          <w:rFonts w:cs="Arial"/>
          <w:sz w:val="24"/>
          <w:szCs w:val="24"/>
        </w:rPr>
        <w:tab/>
        <w:t>Salientamos que os itens 1; 2; 3; 6; 12; 14; 15; 17 e 19 são de responsabilidade do Secretário Municipal de Saúde (Júlio Cézar de Oliveira Ambrósio) e os itens 4; 5; 7; 8; 9; 10; 11; 13; 14; 18 e 19 são de responsabilidade do Engenheiro Civil (Renan Barbosa Simões).</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360" w:lineRule="auto"/>
        <w:jc w:val="center"/>
      </w:pPr>
      <w:r>
        <w:rPr/>
      </w:r>
    </w:p>
    <w:p>
      <w:pPr>
        <w:pStyle w:val="style0"/>
        <w:spacing w:line="360" w:lineRule="auto"/>
        <w:jc w:val="both"/>
      </w:pPr>
      <w:r>
        <w:rPr/>
      </w:r>
    </w:p>
    <w:p>
      <w:pPr>
        <w:pStyle w:val="style0"/>
        <w:jc w:val="center"/>
      </w:pPr>
      <w:r>
        <w:rPr/>
      </w:r>
    </w:p>
    <w:sectPr>
      <w:headerReference r:id="rId2" w:type="default"/>
      <w:type w:val="nextPage"/>
      <w:pgSz w:h="16838" w:w="11906"/>
      <w:pgMar w:bottom="1417" w:footer="0" w:gutter="0" w:header="150" w:left="1701" w:right="1701" w:top="2083"/>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pPr>
    <w:r>
      <w:rPr/>
      <w:drawing>
        <wp:anchor allowOverlap="1" behindDoc="0" distB="0" distL="0" distR="0" distT="0" layoutInCell="1" locked="0" relativeHeight="17" simplePos="0">
          <wp:simplePos x="0" y="0"/>
          <wp:positionH relativeFrom="character">
            <wp:posOffset>-80010</wp:posOffset>
          </wp:positionH>
          <wp:positionV relativeFrom="line">
            <wp:posOffset>140970</wp:posOffset>
          </wp:positionV>
          <wp:extent cx="854710" cy="896620"/>
          <wp:effectExtent b="0" l="0" r="0" t="0"/>
          <wp:wrapTopAndBottom/>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854710" cy="896620"/>
                  </a:xfrm>
                  <a:prstGeom prst="rect">
                    <a:avLst/>
                  </a:prstGeom>
                  <a:noFill/>
                  <a:ln w="9525">
                    <a:noFill/>
                    <a:miter lim="800000"/>
                    <a:headEnd/>
                    <a:tailEnd/>
                  </a:ln>
                </pic:spPr>
              </pic:pic>
            </a:graphicData>
          </a:graphic>
        </wp:anchor>
      </w:drawing>
    </w:r>
  </w:p>
  <w:p>
    <w:pPr>
      <w:pStyle w:val="style0"/>
      <w:jc w:val="center"/>
    </w:pPr>
    <w:r>
      <w:rPr>
        <w:rFonts w:ascii="Constantia" w:cs="Constantia" w:hAnsi="Constantia"/>
        <w:b/>
        <w:sz w:val="28"/>
        <w:szCs w:val="28"/>
      </w:rPr>
      <w:t>PREFEITURA DE ITABORAÍ</w:t>
    </w:r>
  </w:p>
  <w:p>
    <w:pPr>
      <w:pStyle w:val="style0"/>
      <w:jc w:val="center"/>
    </w:pPr>
    <w:r>
      <w:rPr>
        <w:rFonts w:ascii="Constantia" w:cs="Constantia" w:hAnsi="Constantia"/>
        <w:b w:val="false"/>
        <w:bCs w:val="false"/>
        <w:sz w:val="24"/>
        <w:szCs w:val="24"/>
      </w:rPr>
      <w:t>ESTADO DO RIO DE JANEIRO</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360" w:val="num"/>
        </w:tabs>
        <w:ind w:hanging="360" w:left="360"/>
      </w:pPr>
      <w:rPr>
        <w:b/>
      </w:rPr>
    </w:lvl>
    <w:lvl w:ilvl="1">
      <w:start w:val="1"/>
      <w:numFmt w:val="decimal"/>
      <w:lvlText w:val="%1.%2."/>
      <w:lvlJc w:val="left"/>
      <w:pPr>
        <w:tabs>
          <w:tab w:pos="432" w:val="num"/>
        </w:tabs>
        <w:ind w:hanging="432" w:left="432"/>
      </w:pPr>
    </w:lvl>
    <w:lvl w:ilvl="2">
      <w:start w:val="1"/>
      <w:numFmt w:val="decimal"/>
      <w:lvlText w:val="%1.%2.%3."/>
      <w:lvlJc w:val="left"/>
      <w:pPr>
        <w:tabs>
          <w:tab w:pos="1004" w:val="num"/>
        </w:tabs>
        <w:ind w:hanging="504" w:left="788"/>
      </w:pPr>
    </w:lvl>
    <w:lvl w:ilvl="3">
      <w:start w:val="1"/>
      <w:numFmt w:val="decimal"/>
      <w:lvlText w:val="%1.%2.%3.%4."/>
      <w:lvlJc w:val="left"/>
      <w:pPr>
        <w:tabs>
          <w:tab w:pos="1800" w:val="num"/>
        </w:tabs>
        <w:ind w:hanging="648" w:left="1728"/>
      </w:pPr>
    </w:lvl>
    <w:lvl w:ilvl="4">
      <w:start w:val="1"/>
      <w:numFmt w:val="decimal"/>
      <w:lvlText w:val="%1.%2.%3.%4.%5."/>
      <w:lvlJc w:val="left"/>
      <w:pPr>
        <w:tabs>
          <w:tab w:pos="1080" w:val="num"/>
        </w:tabs>
        <w:ind w:hanging="792" w:left="792"/>
      </w:pPr>
    </w:lvl>
    <w:lvl w:ilvl="5">
      <w:start w:val="1"/>
      <w:numFmt w:val="decimal"/>
      <w:lvlText w:val="%1.%2.%3.%4.%5.%6."/>
      <w:lvlJc w:val="left"/>
      <w:pPr>
        <w:tabs>
          <w:tab w:pos="2880" w:val="num"/>
        </w:tabs>
        <w:ind w:hanging="936" w:left="2736"/>
      </w:pPr>
    </w:lvl>
    <w:lvl w:ilvl="6">
      <w:start w:val="1"/>
      <w:numFmt w:val="decimal"/>
      <w:lvlText w:val="%1.%2.%3.%4.%5.%6.%7."/>
      <w:lvlJc w:val="left"/>
      <w:pPr>
        <w:tabs>
          <w:tab w:pos="3600" w:val="num"/>
        </w:tabs>
        <w:ind w:hanging="1080" w:left="3240"/>
      </w:pPr>
    </w:lvl>
    <w:lvl w:ilvl="7">
      <w:start w:val="1"/>
      <w:numFmt w:val="decimal"/>
      <w:lvlText w:val="%1.%2.%3.%4.%5.%6.%7.%8."/>
      <w:lvlJc w:val="left"/>
      <w:pPr>
        <w:tabs>
          <w:tab w:pos="3960" w:val="num"/>
        </w:tabs>
        <w:ind w:hanging="1224" w:left="3744"/>
      </w:pPr>
    </w:lvl>
    <w:lvl w:ilvl="8">
      <w:start w:val="1"/>
      <w:numFmt w:val="decimal"/>
      <w:lvlText w:val="%1.%2.%3.%4.%5.%6.%7.%8.%9."/>
      <w:lvlJc w:val="left"/>
      <w:pPr>
        <w:tabs>
          <w:tab w:pos="4680" w:val="num"/>
        </w:tabs>
        <w:ind w:hanging="1440" w:left="4320"/>
      </w:pPr>
    </w:lvl>
  </w:abstractNum>
  <w:abstractNum w:abstractNumId="3">
    <w:lvl w:ilvl="0">
      <w:start w:val="1"/>
      <w:numFmt w:val="lowerLetter"/>
      <w:lvlText w:val="%1)"/>
      <w:lvlJc w:val="left"/>
      <w:pPr>
        <w:tabs>
          <w:tab w:pos="1004" w:val="num"/>
        </w:tabs>
        <w:ind w:hanging="360" w:left="1004"/>
      </w:pPr>
    </w:lvl>
    <w:lvl w:ilvl="1">
      <w:start w:val="1"/>
      <w:numFmt w:val="lowerLetter"/>
      <w:lvlText w:val="%2."/>
      <w:lvlJc w:val="left"/>
      <w:pPr>
        <w:tabs>
          <w:tab w:pos="1724" w:val="num"/>
        </w:tabs>
        <w:ind w:hanging="360" w:left="1724"/>
      </w:pPr>
    </w:lvl>
    <w:lvl w:ilvl="2">
      <w:start w:val="1"/>
      <w:numFmt w:val="lowerRoman"/>
      <w:lvlText w:val="%3."/>
      <w:lvlJc w:val="right"/>
      <w:pPr>
        <w:tabs>
          <w:tab w:pos="2444" w:val="num"/>
        </w:tabs>
        <w:ind w:hanging="180" w:left="2444"/>
      </w:pPr>
    </w:lvl>
    <w:lvl w:ilvl="3">
      <w:start w:val="1"/>
      <w:numFmt w:val="decimal"/>
      <w:lvlText w:val="%4."/>
      <w:lvlJc w:val="left"/>
      <w:pPr>
        <w:tabs>
          <w:tab w:pos="3164" w:val="num"/>
        </w:tabs>
        <w:ind w:hanging="360" w:left="3164"/>
      </w:pPr>
    </w:lvl>
    <w:lvl w:ilvl="4">
      <w:start w:val="1"/>
      <w:numFmt w:val="lowerLetter"/>
      <w:lvlText w:val="%5."/>
      <w:lvlJc w:val="left"/>
      <w:pPr>
        <w:tabs>
          <w:tab w:pos="3884" w:val="num"/>
        </w:tabs>
        <w:ind w:hanging="360" w:left="3884"/>
      </w:pPr>
    </w:lvl>
    <w:lvl w:ilvl="5">
      <w:start w:val="1"/>
      <w:numFmt w:val="lowerRoman"/>
      <w:lvlText w:val="%6."/>
      <w:lvlJc w:val="right"/>
      <w:pPr>
        <w:tabs>
          <w:tab w:pos="4604" w:val="num"/>
        </w:tabs>
        <w:ind w:hanging="180" w:left="4604"/>
      </w:pPr>
    </w:lvl>
    <w:lvl w:ilvl="6">
      <w:start w:val="1"/>
      <w:numFmt w:val="decimal"/>
      <w:lvlText w:val="%7."/>
      <w:lvlJc w:val="left"/>
      <w:pPr>
        <w:tabs>
          <w:tab w:pos="5324" w:val="num"/>
        </w:tabs>
        <w:ind w:hanging="360" w:left="5324"/>
      </w:pPr>
    </w:lvl>
    <w:lvl w:ilvl="7">
      <w:start w:val="1"/>
      <w:numFmt w:val="lowerLetter"/>
      <w:lvlText w:val="%8."/>
      <w:lvlJc w:val="left"/>
      <w:pPr>
        <w:tabs>
          <w:tab w:pos="6044" w:val="num"/>
        </w:tabs>
        <w:ind w:hanging="360" w:left="6044"/>
      </w:pPr>
    </w:lvl>
    <w:lvl w:ilvl="8">
      <w:start w:val="1"/>
      <w:numFmt w:val="lowerRoman"/>
      <w:lvlText w:val="%9."/>
      <w:lvlJc w:val="right"/>
      <w:pPr>
        <w:tabs>
          <w:tab w:pos="6764" w:val="num"/>
        </w:tabs>
        <w:ind w:hanging="180" w:left="6764"/>
      </w:pPr>
    </w:lvl>
  </w:abstractNum>
  <w:abstractNum w:abstractNumId="4">
    <w:lvl w:ilvl="0">
      <w:start w:val="1"/>
      <w:numFmt w:val="bullet"/>
      <w:lvlText w:val=""/>
      <w:lvlJc w:val="left"/>
      <w:pPr>
        <w:ind w:hanging="360" w:left="1731"/>
      </w:pPr>
      <w:rPr>
        <w:rFonts w:ascii="Symbol" w:cs="Symbol" w:hAnsi="Symbol" w:hint="default"/>
      </w:rPr>
    </w:lvl>
    <w:lvl w:ilvl="1">
      <w:start w:val="1"/>
      <w:numFmt w:val="bullet"/>
      <w:lvlText w:val="o"/>
      <w:lvlJc w:val="left"/>
      <w:pPr>
        <w:ind w:hanging="360" w:left="2451"/>
      </w:pPr>
      <w:rPr>
        <w:rFonts w:ascii="Courier New" w:cs="Courier New" w:hAnsi="Courier New" w:hint="default"/>
      </w:rPr>
    </w:lvl>
    <w:lvl w:ilvl="2">
      <w:start w:val="1"/>
      <w:numFmt w:val="bullet"/>
      <w:lvlText w:val=""/>
      <w:lvlJc w:val="left"/>
      <w:pPr>
        <w:ind w:hanging="360" w:left="3171"/>
      </w:pPr>
      <w:rPr>
        <w:rFonts w:ascii="Wingdings" w:cs="Wingdings" w:hAnsi="Wingdings" w:hint="default"/>
      </w:rPr>
    </w:lvl>
    <w:lvl w:ilvl="3">
      <w:start w:val="1"/>
      <w:numFmt w:val="bullet"/>
      <w:lvlText w:val=""/>
      <w:lvlJc w:val="left"/>
      <w:pPr>
        <w:ind w:hanging="360" w:left="3891"/>
      </w:pPr>
      <w:rPr>
        <w:rFonts w:ascii="Symbol" w:cs="Symbol" w:hAnsi="Symbol" w:hint="default"/>
      </w:rPr>
    </w:lvl>
    <w:lvl w:ilvl="4">
      <w:start w:val="1"/>
      <w:numFmt w:val="bullet"/>
      <w:lvlText w:val="o"/>
      <w:lvlJc w:val="left"/>
      <w:pPr>
        <w:ind w:hanging="360" w:left="4611"/>
      </w:pPr>
      <w:rPr>
        <w:rFonts w:ascii="Courier New" w:cs="Courier New" w:hAnsi="Courier New" w:hint="default"/>
      </w:rPr>
    </w:lvl>
    <w:lvl w:ilvl="5">
      <w:start w:val="1"/>
      <w:numFmt w:val="bullet"/>
      <w:lvlText w:val=""/>
      <w:lvlJc w:val="left"/>
      <w:pPr>
        <w:ind w:hanging="360" w:left="5331"/>
      </w:pPr>
      <w:rPr>
        <w:rFonts w:ascii="Wingdings" w:cs="Wingdings" w:hAnsi="Wingdings" w:hint="default"/>
      </w:rPr>
    </w:lvl>
    <w:lvl w:ilvl="6">
      <w:start w:val="1"/>
      <w:numFmt w:val="bullet"/>
      <w:lvlText w:val=""/>
      <w:lvlJc w:val="left"/>
      <w:pPr>
        <w:ind w:hanging="360" w:left="6051"/>
      </w:pPr>
      <w:rPr>
        <w:rFonts w:ascii="Symbol" w:cs="Symbol" w:hAnsi="Symbol" w:hint="default"/>
      </w:rPr>
    </w:lvl>
    <w:lvl w:ilvl="7">
      <w:start w:val="1"/>
      <w:numFmt w:val="bullet"/>
      <w:lvlText w:val="o"/>
      <w:lvlJc w:val="left"/>
      <w:pPr>
        <w:ind w:hanging="360" w:left="6771"/>
      </w:pPr>
      <w:rPr>
        <w:rFonts w:ascii="Courier New" w:cs="Courier New" w:hAnsi="Courier New" w:hint="default"/>
      </w:rPr>
    </w:lvl>
    <w:lvl w:ilvl="8">
      <w:start w:val="1"/>
      <w:numFmt w:val="bullet"/>
      <w:lvlText w:val=""/>
      <w:lvlJc w:val="left"/>
      <w:pPr>
        <w:ind w:hanging="360" w:left="7491"/>
      </w:pPr>
      <w:rPr>
        <w:rFonts w:ascii="Wingdings" w:cs="Wingdings" w:hAnsi="Wingdings" w:hint="default"/>
      </w:rPr>
    </w:lvl>
  </w:abstractNum>
  <w:abstractNum w:abstractNumId="5">
    <w:lvl w:ilvl="0">
      <w:start w:val="1"/>
      <w:numFmt w:val="bullet"/>
      <w:lvlText w:val=""/>
      <w:lvlJc w:val="left"/>
      <w:pPr>
        <w:ind w:hanging="360" w:left="1800"/>
      </w:pPr>
      <w:rPr>
        <w:rFonts w:ascii="Symbol" w:cs="Symbol" w:hAnsi="Symbol"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6">
    <w:lvl w:ilvl="0">
      <w:start w:val="1"/>
      <w:numFmt w:val="lowerLetter"/>
      <w:lvlText w:val="%1)"/>
      <w:lvlJc w:val="left"/>
      <w:pPr>
        <w:ind w:hanging="360" w:left="1080"/>
      </w:pPr>
      <w:rPr>
        <w:b/>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7">
    <w:lvl w:ilvl="0">
      <w:start w:val="1"/>
      <w:numFmt w:val="lowerLetter"/>
      <w:lvlText w:val="%1)"/>
      <w:lvlJc w:val="left"/>
      <w:pPr>
        <w:ind w:hanging="360" w:left="785"/>
      </w:pPr>
      <w:rPr>
        <w:b/>
      </w:rPr>
    </w:lvl>
    <w:lvl w:ilvl="1">
      <w:start w:val="1"/>
      <w:numFmt w:val="lowerLetter"/>
      <w:lvlText w:val="%2."/>
      <w:lvlJc w:val="left"/>
      <w:pPr>
        <w:ind w:hanging="360" w:left="1505"/>
      </w:pPr>
    </w:lvl>
    <w:lvl w:ilvl="2">
      <w:start w:val="1"/>
      <w:numFmt w:val="lowerRoman"/>
      <w:lvlText w:val="%3."/>
      <w:lvlJc w:val="right"/>
      <w:pPr>
        <w:ind w:hanging="180" w:left="2225"/>
      </w:pPr>
    </w:lvl>
    <w:lvl w:ilvl="3">
      <w:start w:val="1"/>
      <w:numFmt w:val="decimal"/>
      <w:lvlText w:val="%4."/>
      <w:lvlJc w:val="left"/>
      <w:pPr>
        <w:ind w:hanging="360" w:left="2945"/>
      </w:pPr>
    </w:lvl>
    <w:lvl w:ilvl="4">
      <w:start w:val="1"/>
      <w:numFmt w:val="lowerLetter"/>
      <w:lvlText w:val="%5."/>
      <w:lvlJc w:val="left"/>
      <w:pPr>
        <w:ind w:hanging="360" w:left="3665"/>
      </w:pPr>
    </w:lvl>
    <w:lvl w:ilvl="5">
      <w:start w:val="1"/>
      <w:numFmt w:val="lowerRoman"/>
      <w:lvlText w:val="%6."/>
      <w:lvlJc w:val="right"/>
      <w:pPr>
        <w:ind w:hanging="180" w:left="4385"/>
      </w:pPr>
    </w:lvl>
    <w:lvl w:ilvl="6">
      <w:start w:val="1"/>
      <w:numFmt w:val="decimal"/>
      <w:lvlText w:val="%7."/>
      <w:lvlJc w:val="left"/>
      <w:pPr>
        <w:ind w:hanging="360" w:left="5105"/>
      </w:pPr>
    </w:lvl>
    <w:lvl w:ilvl="7">
      <w:start w:val="1"/>
      <w:numFmt w:val="lowerLetter"/>
      <w:lvlText w:val="%8."/>
      <w:lvlJc w:val="left"/>
      <w:pPr>
        <w:ind w:hanging="360" w:left="5825"/>
      </w:pPr>
    </w:lvl>
    <w:lvl w:ilvl="8">
      <w:start w:val="1"/>
      <w:numFmt w:val="lowerRoman"/>
      <w:lvlText w:val="%9."/>
      <w:lvlJc w:val="right"/>
      <w:pPr>
        <w:ind w:hanging="180" w:left="6545"/>
      </w:pPr>
    </w:lvl>
  </w:abstractNum>
  <w:abstractNum w:abstractNumId="8">
    <w:lvl w:ilvl="0">
      <w:start w:val="1"/>
      <w:numFmt w:val="lowerLetter"/>
      <w:lvlText w:val="%1)"/>
      <w:lvlJc w:val="left"/>
      <w:pPr>
        <w:ind w:hanging="360" w:left="1428"/>
      </w:pPr>
    </w:lvl>
    <w:lvl w:ilvl="1">
      <w:start w:val="1"/>
      <w:numFmt w:val="lowerLetter"/>
      <w:lvlText w:val="%2."/>
      <w:lvlJc w:val="left"/>
      <w:pPr>
        <w:ind w:hanging="360" w:left="2148"/>
      </w:pPr>
    </w:lvl>
    <w:lvl w:ilvl="2">
      <w:start w:val="1"/>
      <w:numFmt w:val="lowerRoman"/>
      <w:lvlText w:val="%3."/>
      <w:lvlJc w:val="right"/>
      <w:pPr>
        <w:ind w:hanging="180" w:left="2868"/>
      </w:pPr>
    </w:lvl>
    <w:lvl w:ilvl="3">
      <w:start w:val="1"/>
      <w:numFmt w:val="decimal"/>
      <w:lvlText w:val="%4."/>
      <w:lvlJc w:val="left"/>
      <w:pPr>
        <w:ind w:hanging="360" w:left="3588"/>
      </w:pPr>
    </w:lvl>
    <w:lvl w:ilvl="4">
      <w:start w:val="1"/>
      <w:numFmt w:val="lowerLetter"/>
      <w:lvlText w:val="%5."/>
      <w:lvlJc w:val="left"/>
      <w:pPr>
        <w:ind w:hanging="360" w:left="4308"/>
      </w:pPr>
    </w:lvl>
    <w:lvl w:ilvl="5">
      <w:start w:val="1"/>
      <w:numFmt w:val="lowerRoman"/>
      <w:lvlText w:val="%6."/>
      <w:lvlJc w:val="right"/>
      <w:pPr>
        <w:ind w:hanging="180" w:left="5028"/>
      </w:pPr>
    </w:lvl>
    <w:lvl w:ilvl="6">
      <w:start w:val="1"/>
      <w:numFmt w:val="decimal"/>
      <w:lvlText w:val="%7."/>
      <w:lvlJc w:val="left"/>
      <w:pPr>
        <w:ind w:hanging="360" w:left="5748"/>
      </w:pPr>
    </w:lvl>
    <w:lvl w:ilvl="7">
      <w:start w:val="1"/>
      <w:numFmt w:val="lowerLetter"/>
      <w:lvlText w:val="%8."/>
      <w:lvlJc w:val="left"/>
      <w:pPr>
        <w:ind w:hanging="360" w:left="6468"/>
      </w:pPr>
    </w:lvl>
    <w:lvl w:ilvl="8">
      <w:start w:val="1"/>
      <w:numFmt w:val="lowerRoman"/>
      <w:lvlText w:val="%9."/>
      <w:lvlJc w:val="right"/>
      <w:pPr>
        <w:ind w:hanging="180" w:left="7188"/>
      </w:pPr>
    </w:lvl>
  </w:abstractNum>
  <w:abstractNum w:abstractNumId="9">
    <w:lvl w:ilvl="0">
      <w:start w:val="1"/>
      <w:numFmt w:val="lowerLetter"/>
      <w:lvlText w:val="%1)"/>
      <w:lvlJc w:val="left"/>
      <w:pPr>
        <w:ind w:hanging="360" w:left="862"/>
      </w:pPr>
      <w:rPr>
        <w:b/>
      </w:rPr>
    </w:lvl>
    <w:lvl w:ilvl="1">
      <w:start w:val="1"/>
      <w:numFmt w:val="lowerRoman"/>
      <w:lvlText w:val="%2."/>
      <w:lvlJc w:val="right"/>
      <w:pPr>
        <w:ind w:hanging="360" w:left="1582"/>
      </w:pPr>
      <w:rPr>
        <w:b w:val="false"/>
      </w:rPr>
    </w:lvl>
    <w:lvl w:ilvl="2">
      <w:start w:val="1"/>
      <w:numFmt w:val="lowerRoman"/>
      <w:lvlText w:val="%3."/>
      <w:lvlJc w:val="right"/>
      <w:pPr>
        <w:ind w:hanging="180" w:left="2302"/>
      </w:pPr>
    </w:lvl>
    <w:lvl w:ilvl="3">
      <w:start w:val="17"/>
      <w:numFmt w:val="decimal"/>
      <w:lvlText w:val="%4."/>
      <w:lvlJc w:val="left"/>
      <w:pPr>
        <w:ind w:hanging="360" w:left="3022"/>
      </w:pPr>
    </w:lvl>
    <w:lvl w:ilvl="4">
      <w:start w:val="1"/>
      <w:numFmt w:val="lowerLetter"/>
      <w:lvlText w:val="%5."/>
      <w:lvlJc w:val="left"/>
      <w:pPr>
        <w:ind w:hanging="360" w:left="3742"/>
      </w:pPr>
    </w:lvl>
    <w:lvl w:ilvl="5">
      <w:start w:val="1"/>
      <w:numFmt w:val="lowerRoman"/>
      <w:lvlText w:val="%6."/>
      <w:lvlJc w:val="right"/>
      <w:pPr>
        <w:ind w:hanging="180" w:left="4462"/>
      </w:pPr>
    </w:lvl>
    <w:lvl w:ilvl="6">
      <w:start w:val="1"/>
      <w:numFmt w:val="decimal"/>
      <w:lvlText w:val="%7."/>
      <w:lvlJc w:val="left"/>
      <w:pPr>
        <w:ind w:hanging="360" w:left="5182"/>
      </w:pPr>
    </w:lvl>
    <w:lvl w:ilvl="7">
      <w:start w:val="1"/>
      <w:numFmt w:val="lowerLetter"/>
      <w:lvlText w:val="%8."/>
      <w:lvlJc w:val="left"/>
      <w:pPr>
        <w:ind w:hanging="360" w:left="5902"/>
      </w:pPr>
    </w:lvl>
    <w:lvl w:ilvl="8">
      <w:start w:val="1"/>
      <w:numFmt w:val="lowerRoman"/>
      <w:lvlText w:val="%9."/>
      <w:lvlJc w:val="right"/>
      <w:pPr>
        <w:ind w:hanging="180" w:left="6622"/>
      </w:pPr>
    </w:lvl>
  </w:abstractNum>
  <w:abstractNum w:abstractNumId="10">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4"/>
      <w:numFmt w:val="decimal"/>
      <w:lvlText w:val="%1."/>
      <w:lvlJc w:val="left"/>
      <w:pPr>
        <w:ind w:hanging="720" w:left="720"/>
      </w:pPr>
    </w:lvl>
    <w:lvl w:ilvl="1">
      <w:start w:val="1"/>
      <w:numFmt w:val="decimal"/>
      <w:lvlText w:val="%1.%2."/>
      <w:lvlJc w:val="left"/>
      <w:pPr>
        <w:ind w:hanging="720" w:left="1080"/>
      </w:p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080" w:left="2520"/>
      </w:pPr>
    </w:lvl>
    <w:lvl w:ilvl="5">
      <w:start w:val="1"/>
      <w:numFmt w:val="decimal"/>
      <w:lvlText w:val="%1.%2.%3.%4.%5.%6."/>
      <w:lvlJc w:val="left"/>
      <w:pPr>
        <w:ind w:hanging="1440" w:left="3240"/>
      </w:pPr>
    </w:lvl>
    <w:lvl w:ilvl="6">
      <w:start w:val="1"/>
      <w:numFmt w:val="decimal"/>
      <w:lvlText w:val="%1.%2.%3.%4.%5.%6.%7."/>
      <w:lvlJc w:val="left"/>
      <w:pPr>
        <w:ind w:hanging="1440" w:left="3600"/>
      </w:pPr>
    </w:lvl>
    <w:lvl w:ilvl="7">
      <w:start w:val="1"/>
      <w:numFmt w:val="decimal"/>
      <w:lvlText w:val="%1.%2.%3.%4.%5.%6.%7.%8."/>
      <w:lvlJc w:val="left"/>
      <w:pPr>
        <w:ind w:hanging="1800" w:left="4320"/>
      </w:pPr>
    </w:lvl>
    <w:lvl w:ilvl="8">
      <w:start w:val="1"/>
      <w:numFmt w:val="decimal"/>
      <w:lvlText w:val="%1.%2.%3.%4.%5.%6.%7.%8.%9."/>
      <w:lvlJc w:val="left"/>
      <w:pPr>
        <w:ind w:hanging="2160" w:left="50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Padrão"/>
    <w:next w:val="style0"/>
    <w:pPr>
      <w:widowControl/>
      <w:tabs/>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pt-BR" w:val="pt-BR"/>
    </w:rPr>
  </w:style>
  <w:style w:styleId="style1" w:type="paragraph">
    <w:name w:val="Título 1"/>
    <w:basedOn w:val="style0"/>
    <w:next w:val="style34"/>
    <w:pPr>
      <w:keepNext/>
      <w:numPr>
        <w:ilvl w:val="0"/>
        <w:numId w:val="1"/>
      </w:numPr>
      <w:spacing w:after="60" w:before="240"/>
      <w:contextualSpacing w:val="false"/>
      <w:outlineLvl w:val="0"/>
    </w:pPr>
    <w:rPr>
      <w:rFonts w:ascii="Cambria" w:hAnsi="Cambria"/>
      <w:b/>
      <w:bCs/>
      <w:sz w:val="32"/>
      <w:szCs w:val="32"/>
    </w:rPr>
  </w:style>
  <w:style w:styleId="style15" w:type="character">
    <w:name w:val="Default Paragraph Font"/>
    <w:next w:val="style15"/>
    <w:rPr/>
  </w:style>
  <w:style w:styleId="style16" w:type="character">
    <w:name w:val="Título 1 Char"/>
    <w:basedOn w:val="style15"/>
    <w:next w:val="style16"/>
    <w:rPr>
      <w:rFonts w:ascii="Cambria" w:cs="Times New Roman" w:eastAsia="Times New Roman" w:hAnsi="Cambria"/>
      <w:b/>
      <w:bCs/>
      <w:sz w:val="32"/>
      <w:szCs w:val="32"/>
      <w:lang w:eastAsia="pt-BR"/>
    </w:rPr>
  </w:style>
  <w:style w:styleId="style17" w:type="character">
    <w:name w:val="Cabeçalho Char"/>
    <w:basedOn w:val="style15"/>
    <w:next w:val="style17"/>
    <w:rPr>
      <w:rFonts w:ascii="Times New Roman" w:cs="Times New Roman" w:eastAsia="Times New Roman" w:hAnsi="Times New Roman"/>
      <w:sz w:val="24"/>
      <w:szCs w:val="24"/>
      <w:lang w:eastAsia="pt-BR"/>
    </w:rPr>
  </w:style>
  <w:style w:styleId="style18" w:type="character">
    <w:name w:val="Rodapé Char"/>
    <w:basedOn w:val="style15"/>
    <w:next w:val="style18"/>
    <w:rPr>
      <w:rFonts w:ascii="Times New Roman" w:cs="Times New Roman" w:eastAsia="Times New Roman" w:hAnsi="Times New Roman"/>
      <w:sz w:val="24"/>
      <w:szCs w:val="24"/>
      <w:lang w:eastAsia="pt-BR"/>
    </w:rPr>
  </w:style>
  <w:style w:styleId="style19" w:type="character">
    <w:name w:val="ListLabel 1"/>
    <w:next w:val="style19"/>
    <w:rPr>
      <w:b/>
    </w:rPr>
  </w:style>
  <w:style w:styleId="style20" w:type="character">
    <w:name w:val="ListLabel 2"/>
    <w:next w:val="style20"/>
    <w:rPr>
      <w:rFonts w:cs="Courier New"/>
    </w:rPr>
  </w:style>
  <w:style w:styleId="style21" w:type="character">
    <w:name w:val="ListLabel 3"/>
    <w:next w:val="style21"/>
    <w:rPr>
      <w:rFonts w:cs="Arial" w:eastAsia="Times New Roman"/>
      <w:b/>
    </w:rPr>
  </w:style>
  <w:style w:styleId="style22" w:type="character">
    <w:name w:val="ListLabel 4"/>
    <w:next w:val="style22"/>
    <w:rPr>
      <w:sz w:val="28"/>
    </w:rPr>
  </w:style>
  <w:style w:styleId="style23" w:type="character">
    <w:name w:val="ListLabel 5"/>
    <w:next w:val="style23"/>
    <w:rPr>
      <w:rFonts w:cs="Arial" w:eastAsia="Times New Roman"/>
    </w:rPr>
  </w:style>
  <w:style w:styleId="style24" w:type="character">
    <w:name w:val="ListLabel 6"/>
    <w:next w:val="style24"/>
    <w:rPr>
      <w:rFonts w:cs="Arial" w:eastAsia="Times New Roman"/>
      <w:b w:val="false"/>
    </w:rPr>
  </w:style>
  <w:style w:styleId="style25" w:type="character">
    <w:name w:val="ListLabel 7"/>
    <w:next w:val="style25"/>
    <w:rPr>
      <w:b w:val="false"/>
    </w:rPr>
  </w:style>
  <w:style w:styleId="style26" w:type="character">
    <w:name w:val="ListLabel 8"/>
    <w:next w:val="style26"/>
    <w:rPr>
      <w:b/>
      <w:sz w:val="28"/>
    </w:rPr>
  </w:style>
  <w:style w:styleId="style27" w:type="character">
    <w:name w:val="ListLabel 9"/>
    <w:next w:val="style27"/>
    <w:rPr>
      <w:b/>
      <w:sz w:val="24"/>
      <w:szCs w:val="24"/>
    </w:rPr>
  </w:style>
  <w:style w:styleId="style28" w:type="character">
    <w:name w:val="ListLabel 10"/>
    <w:next w:val="style28"/>
    <w:rPr>
      <w:b/>
    </w:rPr>
  </w:style>
  <w:style w:styleId="style29" w:type="character">
    <w:name w:val="ListLabel 11"/>
    <w:next w:val="style29"/>
    <w:rPr>
      <w:rFonts w:cs="Symbol"/>
    </w:rPr>
  </w:style>
  <w:style w:styleId="style30" w:type="character">
    <w:name w:val="ListLabel 12"/>
    <w:next w:val="style30"/>
    <w:rPr>
      <w:rFonts w:cs="Courier New"/>
    </w:rPr>
  </w:style>
  <w:style w:styleId="style31" w:type="character">
    <w:name w:val="ListLabel 13"/>
    <w:next w:val="style31"/>
    <w:rPr>
      <w:rFonts w:cs="Wingdings"/>
    </w:rPr>
  </w:style>
  <w:style w:styleId="style32" w:type="character">
    <w:name w:val="ListLabel 14"/>
    <w:next w:val="style32"/>
    <w:rPr>
      <w:b w:val="false"/>
    </w:rPr>
  </w:style>
  <w:style w:styleId="style33" w:type="paragraph">
    <w:name w:val="Título"/>
    <w:basedOn w:val="style0"/>
    <w:next w:val="style34"/>
    <w:pPr>
      <w:keepNext/>
      <w:spacing w:after="120" w:before="240"/>
      <w:contextualSpacing w:val="false"/>
    </w:pPr>
    <w:rPr>
      <w:rFonts w:ascii="Arial" w:cs="Mangal" w:eastAsia="Microsoft YaHei" w:hAnsi="Arial"/>
      <w:sz w:val="28"/>
      <w:szCs w:val="28"/>
    </w:rPr>
  </w:style>
  <w:style w:styleId="style34" w:type="paragraph">
    <w:name w:val="Corpo de texto"/>
    <w:basedOn w:val="style0"/>
    <w:next w:val="style34"/>
    <w:pPr>
      <w:spacing w:after="120" w:before="0"/>
      <w:contextualSpacing w:val="false"/>
    </w:pPr>
    <w:rPr/>
  </w:style>
  <w:style w:styleId="style35" w:type="paragraph">
    <w:name w:val="Lista"/>
    <w:basedOn w:val="style34"/>
    <w:next w:val="style35"/>
    <w:pPr/>
    <w:rPr>
      <w:rFonts w:cs="Mangal"/>
    </w:rPr>
  </w:style>
  <w:style w:styleId="style36" w:type="paragraph">
    <w:name w:val="Legenda"/>
    <w:basedOn w:val="style0"/>
    <w:next w:val="style36"/>
    <w:pPr>
      <w:suppressLineNumbers/>
      <w:spacing w:after="120" w:before="120"/>
      <w:contextualSpacing w:val="false"/>
    </w:pPr>
    <w:rPr>
      <w:rFonts w:cs="Mangal"/>
      <w:i/>
      <w:iCs/>
      <w:sz w:val="24"/>
      <w:szCs w:val="24"/>
    </w:rPr>
  </w:style>
  <w:style w:styleId="style37" w:type="paragraph">
    <w:name w:val="Índice"/>
    <w:basedOn w:val="style0"/>
    <w:next w:val="style37"/>
    <w:pPr>
      <w:suppressLineNumbers/>
    </w:pPr>
    <w:rPr>
      <w:rFonts w:cs="Mangal"/>
    </w:rPr>
  </w:style>
  <w:style w:styleId="style38" w:type="paragraph">
    <w:name w:val="List Paragraph"/>
    <w:basedOn w:val="style0"/>
    <w:next w:val="style38"/>
    <w:pPr>
      <w:spacing w:after="200" w:before="0" w:line="276" w:lineRule="auto"/>
      <w:ind w:hanging="0" w:left="708" w:right="0"/>
      <w:contextualSpacing w:val="false"/>
    </w:pPr>
    <w:rPr>
      <w:rFonts w:ascii="Calibri" w:eastAsia="Calibri" w:hAnsi="Calibri"/>
      <w:sz w:val="22"/>
      <w:szCs w:val="22"/>
      <w:lang w:eastAsia="en-US"/>
    </w:rPr>
  </w:style>
  <w:style w:styleId="style39" w:type="paragraph">
    <w:name w:val="Texto"/>
    <w:basedOn w:val="style0"/>
    <w:next w:val="style39"/>
    <w:pPr>
      <w:spacing w:after="80" w:before="80" w:line="360" w:lineRule="auto"/>
      <w:ind w:firstLine="709" w:left="0" w:right="0"/>
      <w:contextualSpacing w:val="false"/>
      <w:jc w:val="both"/>
    </w:pPr>
    <w:rPr>
      <w:rFonts w:ascii="Arial" w:hAnsi="Arial"/>
      <w:sz w:val="20"/>
      <w:szCs w:val="20"/>
    </w:rPr>
  </w:style>
  <w:style w:styleId="style40" w:type="paragraph">
    <w:name w:val="Cabeçalho"/>
    <w:basedOn w:val="style0"/>
    <w:next w:val="style40"/>
    <w:pPr>
      <w:suppressLineNumbers/>
      <w:tabs>
        <w:tab w:leader="none" w:pos="4252" w:val="center"/>
        <w:tab w:leader="none" w:pos="8504" w:val="right"/>
      </w:tabs>
    </w:pPr>
    <w:rPr/>
  </w:style>
  <w:style w:styleId="style41" w:type="paragraph">
    <w:name w:val="Rodapé"/>
    <w:basedOn w:val="style0"/>
    <w:next w:val="style41"/>
    <w:pPr>
      <w:suppressLineNumbers/>
      <w:tabs>
        <w:tab w:leader="none" w:pos="4252" w:val="center"/>
        <w:tab w:leader="none" w:pos="850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2019-10-09T13:46:00.00Z</dcterms:created>
  <dc:creator>Renan Simões</dc:creator>
  <cp:lastModifiedBy>Renan Simões</cp:lastModifiedBy>
  <cp:lastPrinted>2020-01-07T17:50:14.35Z</cp:lastPrinted>
  <dcterms:modified xsi:type="dcterms:W3CDTF">2019-10-11T14:25:00.00Z</dcterms:modified>
  <cp:revision>5</cp:revision>
</cp:coreProperties>
</file>