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000000"/>
          <w:spacing w:val="0"/>
          <w:position w:val="0"/>
          <w:sz w:val="28"/>
          <w:u w:val="single"/>
          <w:shd w:fill="auto" w:val="clear"/>
        </w:rPr>
      </w:pPr>
      <w:r>
        <w:rPr>
          <w:rFonts w:ascii="Calibri" w:hAnsi="Calibri" w:cs="Calibri" w:eastAsia="Calibri"/>
          <w:b/>
          <w:color w:val="000000"/>
          <w:spacing w:val="0"/>
          <w:position w:val="0"/>
          <w:sz w:val="28"/>
          <w:u w:val="single"/>
          <w:shd w:fill="auto" w:val="clear"/>
        </w:rPr>
        <w:t xml:space="preserve">ANEXO II - TERMO DE REFERÊNCIA</w:t>
      </w:r>
    </w:p>
    <w:p>
      <w:pPr>
        <w:spacing w:before="0" w:after="0" w:line="276"/>
        <w:ind w:right="0" w:left="0" w:firstLine="0"/>
        <w:jc w:val="center"/>
        <w:rPr>
          <w:rFonts w:ascii="Calibri" w:hAnsi="Calibri" w:cs="Calibri" w:eastAsia="Calibri"/>
          <w:b/>
          <w:color w:val="000000"/>
          <w:spacing w:val="0"/>
          <w:position w:val="0"/>
          <w:sz w:val="28"/>
          <w:u w:val="single"/>
          <w:shd w:fill="auto" w:val="clear"/>
        </w:rPr>
      </w:pPr>
    </w:p>
    <w:p>
      <w:pPr>
        <w:numPr>
          <w:ilvl w:val="0"/>
          <w:numId w:val="2"/>
        </w:numPr>
        <w:suppressAutoHyphens w:val="true"/>
        <w:spacing w:before="0" w:after="0" w:line="360"/>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DO OBJETO </w:t>
      </w:r>
    </w:p>
    <w:p>
      <w:pPr>
        <w:spacing w:before="0" w:after="200" w:line="36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presente Termo de Referência tem por objetivo a aquisição de urnas funerárias, para atender os Cemitérios Municipais, que são de responsabilidade da Secretaria Municipal de Desenvolvimento Social.</w:t>
      </w:r>
    </w:p>
    <w:p>
      <w:pPr>
        <w:spacing w:before="0" w:after="200" w:line="36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Segue abaixo a especificação detalhada dos itens a serem registrados e futuramente adquiridos:</w:t>
      </w:r>
    </w:p>
    <w:tbl>
      <w:tblPr/>
      <w:tblGrid>
        <w:gridCol w:w="672"/>
        <w:gridCol w:w="5715"/>
        <w:gridCol w:w="1126"/>
        <w:gridCol w:w="1271"/>
      </w:tblGrid>
      <w:tr>
        <w:trPr>
          <w:trHeight w:val="1" w:hRule="atLeast"/>
          <w:jc w:val="left"/>
        </w:trPr>
        <w:tc>
          <w:tcPr>
            <w:tcW w:w="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Item</w:t>
            </w:r>
          </w:p>
        </w:tc>
        <w:tc>
          <w:tcPr>
            <w:tcW w:w="5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EQUIPAMENTOS</w:t>
            </w:r>
          </w:p>
        </w:tc>
        <w:tc>
          <w:tcPr>
            <w:tcW w:w="1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Unidades</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Quantidade</w:t>
            </w:r>
          </w:p>
        </w:tc>
      </w:tr>
      <w:tr>
        <w:trPr>
          <w:trHeight w:val="1" w:hRule="atLeast"/>
          <w:jc w:val="left"/>
        </w:trPr>
        <w:tc>
          <w:tcPr>
            <w:tcW w:w="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w:t>
            </w:r>
          </w:p>
        </w:tc>
        <w:tc>
          <w:tcPr>
            <w:tcW w:w="5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Urna modelo sextavado sem visor, caixa e tampa bordada gravada a fogo, confeccionada em madeira ou similar. Acabamento interno: caixa e tampa forrada em tnt branco, babado decorado artisticamente em silk screen, fundo em MDF de 6mm, com 6 alças fixas metalizadas, 04 gavetas para fechamento da tampa, urna pintada na cor castanho sombreado, acabamento em verniz de alto brilho. Medidas internas: 1,95 x 0,58 x 0,33 m (PADRÃO) </w:t>
            </w:r>
          </w:p>
        </w:tc>
        <w:tc>
          <w:tcPr>
            <w:tcW w:w="1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Unidade</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1.800</w:t>
            </w:r>
          </w:p>
        </w:tc>
      </w:tr>
      <w:tr>
        <w:trPr>
          <w:trHeight w:val="1" w:hRule="atLeast"/>
          <w:jc w:val="left"/>
        </w:trPr>
        <w:tc>
          <w:tcPr>
            <w:tcW w:w="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w:t>
            </w:r>
          </w:p>
        </w:tc>
        <w:tc>
          <w:tcPr>
            <w:tcW w:w="5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Urna modelo sextavado com visor, caixa e tampa bordada gravada a fogo, confeccionada em madeira ou similar. Acabamento interno: caixa e tampa forrada em tnt branco, babado de tnt e travesseiro solto. Acabamento externo: Tampo decorado artisticamente em silk screen, fundo em MDF de 6mm, com 6 alças fixas metalizadas, 04 gavetas para fechamento da tampa, urna pintada na cor castanho sombreado, acabamento em verniz de alto brilho. Medidas internas: 1,95 x 0,58 x 0,33 m (PADRÃO) </w:t>
            </w:r>
          </w:p>
        </w:tc>
        <w:tc>
          <w:tcPr>
            <w:tcW w:w="1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Unidade</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900</w:t>
            </w:r>
          </w:p>
        </w:tc>
      </w:tr>
      <w:tr>
        <w:trPr>
          <w:trHeight w:val="1" w:hRule="atLeast"/>
          <w:jc w:val="left"/>
        </w:trPr>
        <w:tc>
          <w:tcPr>
            <w:tcW w:w="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3</w:t>
            </w:r>
          </w:p>
        </w:tc>
        <w:tc>
          <w:tcPr>
            <w:tcW w:w="5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Urna modelo sextavado sem visor, fundo em MDF de 6mm, laterais da caixa confeccionada em MDF de 15mm e laterais da tampa confeccionada em MDF de 09mm, laterais da caixa e da tampa gravadas a fogo, lisa ou com dois frisos, tampo em chapa de madeira prensada de 3mm silk screen dourado, com seis alças fixas pigmentadas, forrada internamente em papel branco, babado em material biodegradável branco, travesseiro solto, acabamento externo na cor cerejeira, magno ou marfim rajada, com verniz de alto brilho. Medidas internas aproximadas: 2,07 x 0,55 x 0,35 m (URNA COMPRIDA)</w:t>
            </w:r>
          </w:p>
        </w:tc>
        <w:tc>
          <w:tcPr>
            <w:tcW w:w="1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Unidades</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120</w:t>
            </w:r>
          </w:p>
        </w:tc>
      </w:tr>
      <w:tr>
        <w:trPr>
          <w:trHeight w:val="598" w:hRule="auto"/>
          <w:jc w:val="left"/>
        </w:trPr>
        <w:tc>
          <w:tcPr>
            <w:tcW w:w="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4</w:t>
            </w:r>
          </w:p>
        </w:tc>
        <w:tc>
          <w:tcPr>
            <w:tcW w:w="5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Urna modelo sextavado com visor, tampa e caixa com molduras, todas gravadas a fogo, confeccionadas em mdf ou madeira, fundo misto em madeira e chapadur ou OSB de alta resistência, acabamento interno, caixa e tampa forrada em papel ou material biodegradável branco, babado e sobrebabado em renda banca e travesseiro solto. Sobretampo em silk screen dourado. Acabamento externo: Tampo decorado artisticamente em silk screen, visor de acrílico, alças varãozinho com 04 suportes de cada lado, 06 gavetas para fechamento da tampa, pintada na cor castanho sombreado escuro ou claro, com verniz de alto brilho. Medidas internas aproximadas: 1,95 x 0,64 x 0,33 m (GORDA)</w:t>
            </w:r>
          </w:p>
        </w:tc>
        <w:tc>
          <w:tcPr>
            <w:tcW w:w="1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Unidades</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520</w:t>
            </w:r>
          </w:p>
        </w:tc>
      </w:tr>
      <w:tr>
        <w:trPr>
          <w:trHeight w:val="1" w:hRule="atLeast"/>
          <w:jc w:val="left"/>
        </w:trPr>
        <w:tc>
          <w:tcPr>
            <w:tcW w:w="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5</w:t>
            </w:r>
          </w:p>
        </w:tc>
        <w:tc>
          <w:tcPr>
            <w:tcW w:w="5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Urna modelo sextavado com visor, tampa e caixa com molduras, todas gravadas a fogo, confeccionadas em mdf ou madeira, fundo misto em madeira e chapadur ou OSB de alta resistência, acabamento interno, caixa e tampa forrada em papel ou material biodegradável branco, babado e sobrebabado em renda banca e travesseiro solto. Sobretampo em silk screen dourado. Acabamento externo: Tampo decorado artisticamente em silk screen, visor de acrílico, alças varãozinho com 04 suportes de cada lado, 06 gavetas para fechamento da tampa, pintada na cor castanho sombreado escuro ou claro, com verniz de alto brilho. Medidas internas aproximadas: 2,00 x 0,70 x 0,43 m (SUPER GORDA)</w:t>
            </w:r>
          </w:p>
        </w:tc>
        <w:tc>
          <w:tcPr>
            <w:tcW w:w="1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Unidades</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160</w:t>
            </w:r>
          </w:p>
        </w:tc>
      </w:tr>
      <w:tr>
        <w:trPr>
          <w:trHeight w:val="1" w:hRule="atLeast"/>
          <w:jc w:val="left"/>
        </w:trPr>
        <w:tc>
          <w:tcPr>
            <w:tcW w:w="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6</w:t>
            </w:r>
          </w:p>
        </w:tc>
        <w:tc>
          <w:tcPr>
            <w:tcW w:w="5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Urna modelo sextavado com visor, tampa e caixa com molduras, todas gravadas a fogo, confeccionadas em mdf ou madeira, fundo misto em madeira e chapadur ou OSB de alta resistência, acabamento interno, caixa e tampa forrada em papel ou material biodegradável branco, babado e sobrebabado em renda banca e travesseiro solto. Sobretampo em silk screen dourado. Acabamento externo: Tampo decorado artisticamente em silk screen, visor de acrílico, alças varãozinho com 04 suportes de cada lado, 06 gavetas para fechamento da tampa, pintada na cor castanho sombreado escuro ou claro, com verniz de alto brilho. Medidas internas aproximadas: 2,05 x 0,85 x 0,55 m (BALEIA)</w:t>
            </w:r>
          </w:p>
        </w:tc>
        <w:tc>
          <w:tcPr>
            <w:tcW w:w="1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Unidade</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50</w:t>
            </w:r>
          </w:p>
        </w:tc>
      </w:tr>
      <w:tr>
        <w:trPr>
          <w:trHeight w:val="1" w:hRule="atLeast"/>
          <w:jc w:val="left"/>
        </w:trPr>
        <w:tc>
          <w:tcPr>
            <w:tcW w:w="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7</w:t>
            </w:r>
          </w:p>
        </w:tc>
        <w:tc>
          <w:tcPr>
            <w:tcW w:w="57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spacing w:val="0"/>
                <w:position w:val="0"/>
              </w:rPr>
            </w:pPr>
            <w:r>
              <w:rPr>
                <w:rFonts w:ascii="Calibri" w:hAnsi="Calibri" w:cs="Calibri" w:eastAsia="Calibri"/>
                <w:color w:val="000000"/>
                <w:spacing w:val="0"/>
                <w:position w:val="0"/>
                <w:sz w:val="20"/>
                <w:shd w:fill="auto" w:val="clear"/>
              </w:rPr>
              <w:t xml:space="preserve">Urna anjo padrão, branco fosco, acabamento externo: caixa e tampa lisa. Acabamento interno em samilon branco. Medidas internas aproximadas: 0,60 x 0,26 x 0,15 m </w:t>
            </w:r>
          </w:p>
        </w:tc>
        <w:tc>
          <w:tcPr>
            <w:tcW w:w="1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Unidades</w:t>
            </w:r>
          </w:p>
        </w:tc>
        <w:tc>
          <w:tcPr>
            <w:tcW w:w="12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620</w:t>
            </w:r>
          </w:p>
        </w:tc>
      </w:tr>
    </w:tbl>
    <w:p>
      <w:pPr>
        <w:spacing w:before="0" w:after="200" w:line="360"/>
        <w:ind w:right="0" w:left="0" w:firstLine="709"/>
        <w:jc w:val="both"/>
        <w:rPr>
          <w:rFonts w:ascii="Calibri" w:hAnsi="Calibri" w:cs="Calibri" w:eastAsia="Calibri"/>
          <w:color w:val="auto"/>
          <w:spacing w:val="0"/>
          <w:position w:val="0"/>
          <w:sz w:val="22"/>
          <w:shd w:fill="auto" w:val="clear"/>
        </w:rPr>
      </w:pPr>
    </w:p>
    <w:p>
      <w:pPr>
        <w:numPr>
          <w:ilvl w:val="0"/>
          <w:numId w:val="41"/>
        </w:numPr>
        <w:suppressAutoHyphens w:val="true"/>
        <w:spacing w:before="0" w:after="0" w:line="360"/>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JUSTIFICATIVA</w:t>
      </w:r>
    </w:p>
    <w:p>
      <w:pPr>
        <w:spacing w:before="0" w:after="200" w:line="36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Serviço funeral é um programa de benefícios eventuais, dentro das políticas públicas de Assistência Social, onde o município tem a responsabilidade de execução direta, sem possibilidades de descontinuidade dos serviços. O mesmo visa atender as famílias em situação de vulnerabilidade social as quais não dispõem de condições financeiras de arcar com os custos de um funeral digno e humanitário.</w:t>
      </w:r>
    </w:p>
    <w:p>
      <w:pPr>
        <w:spacing w:before="0" w:after="200" w:line="36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Considerando que no ano de 2020, com a pandemia do COVID-19, a média de sepultamentos dobrou, passando para cerca de 200 sepultamentos por mês, totalizando por volta de 2.400 sepultamentos. </w:t>
      </w:r>
    </w:p>
    <w:p>
      <w:pPr>
        <w:spacing w:before="0" w:after="200" w:line="36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 isso, o estoque de urnas baixou, havendo a necessidade da aquisição.</w:t>
      </w:r>
    </w:p>
    <w:p>
      <w:pPr>
        <w:numPr>
          <w:ilvl w:val="0"/>
          <w:numId w:val="43"/>
        </w:numPr>
        <w:suppressAutoHyphens w:val="true"/>
        <w:spacing w:before="0" w:after="0" w:line="360"/>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DA COTAÇÃO:</w:t>
      </w:r>
    </w:p>
    <w:p>
      <w:pPr>
        <w:spacing w:before="0" w:after="200" w:line="36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despesa decorrente da aquisição, objeto deste pregão correrá pelo:</w:t>
      </w:r>
    </w:p>
    <w:p>
      <w:pPr>
        <w:spacing w:before="0" w:after="200" w:line="360"/>
        <w:ind w:right="0" w:left="709"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Órgão: </w:t>
      </w:r>
      <w:r>
        <w:rPr>
          <w:rFonts w:ascii="Calibri" w:hAnsi="Calibri" w:cs="Calibri" w:eastAsia="Calibri"/>
          <w:color w:val="auto"/>
          <w:spacing w:val="0"/>
          <w:position w:val="0"/>
          <w:sz w:val="22"/>
          <w:shd w:fill="auto" w:val="clear"/>
        </w:rPr>
        <w:t xml:space="preserve">16</w:t>
        <w:br/>
      </w:r>
      <w:r>
        <w:rPr>
          <w:rFonts w:ascii="Calibri" w:hAnsi="Calibri" w:cs="Calibri" w:eastAsia="Calibri"/>
          <w:b/>
          <w:color w:val="auto"/>
          <w:spacing w:val="0"/>
          <w:position w:val="0"/>
          <w:sz w:val="22"/>
          <w:shd w:fill="auto" w:val="clear"/>
        </w:rPr>
        <w:t xml:space="preserve">Unidade: </w:t>
      </w:r>
      <w:r>
        <w:rPr>
          <w:rFonts w:ascii="Calibri" w:hAnsi="Calibri" w:cs="Calibri" w:eastAsia="Calibri"/>
          <w:color w:val="auto"/>
          <w:spacing w:val="0"/>
          <w:position w:val="0"/>
          <w:sz w:val="22"/>
          <w:shd w:fill="auto" w:val="clear"/>
        </w:rPr>
        <w:t xml:space="preserve">001</w:t>
        <w:br/>
      </w:r>
      <w:r>
        <w:rPr>
          <w:rFonts w:ascii="Calibri" w:hAnsi="Calibri" w:cs="Calibri" w:eastAsia="Calibri"/>
          <w:b/>
          <w:color w:val="auto"/>
          <w:spacing w:val="0"/>
          <w:position w:val="0"/>
          <w:sz w:val="22"/>
          <w:shd w:fill="auto" w:val="clear"/>
        </w:rPr>
        <w:t xml:space="preserve">Programa de Trabalho: </w:t>
      </w:r>
      <w:r>
        <w:rPr>
          <w:rFonts w:ascii="Calibri" w:hAnsi="Calibri" w:cs="Calibri" w:eastAsia="Calibri"/>
          <w:color w:val="auto"/>
          <w:spacing w:val="0"/>
          <w:position w:val="0"/>
          <w:sz w:val="22"/>
          <w:shd w:fill="auto" w:val="clear"/>
        </w:rPr>
        <w:t xml:space="preserve">15.452.0094.2.273 – Manutenção e Operacionalização da Funerária Municipal.</w:t>
        <w:br/>
      </w:r>
      <w:r>
        <w:rPr>
          <w:rFonts w:ascii="Calibri" w:hAnsi="Calibri" w:cs="Calibri" w:eastAsia="Calibri"/>
          <w:b/>
          <w:color w:val="auto"/>
          <w:spacing w:val="0"/>
          <w:position w:val="0"/>
          <w:sz w:val="22"/>
          <w:shd w:fill="auto" w:val="clear"/>
        </w:rPr>
        <w:t xml:space="preserve">Natureza de Despesa: </w:t>
      </w:r>
      <w:r>
        <w:rPr>
          <w:rFonts w:ascii="Calibri" w:hAnsi="Calibri" w:cs="Calibri" w:eastAsia="Calibri"/>
          <w:color w:val="auto"/>
          <w:spacing w:val="0"/>
          <w:position w:val="0"/>
          <w:sz w:val="22"/>
          <w:shd w:fill="auto" w:val="clear"/>
        </w:rPr>
        <w:t xml:space="preserve">33.90.30.99</w:t>
      </w:r>
    </w:p>
    <w:p>
      <w:pPr>
        <w:numPr>
          <w:ilvl w:val="0"/>
          <w:numId w:val="46"/>
        </w:numPr>
        <w:suppressAutoHyphens w:val="true"/>
        <w:spacing w:before="0" w:after="0" w:line="360"/>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TIPO DO EMPENHO</w:t>
      </w:r>
    </w:p>
    <w:p>
      <w:pPr>
        <w:spacing w:before="0" w:after="200" w:line="360"/>
        <w:ind w:right="0" w:left="709"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ORDINÁRIO, pois a entrega será conforme solicitação</w:t>
      </w:r>
    </w:p>
    <w:p>
      <w:pPr>
        <w:numPr>
          <w:ilvl w:val="0"/>
          <w:numId w:val="48"/>
        </w:numPr>
        <w:suppressAutoHyphens w:val="true"/>
        <w:spacing w:before="0" w:after="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PRAZO DE EXECUÇÃO</w:t>
      </w:r>
    </w:p>
    <w:p>
      <w:pPr>
        <w:spacing w:before="0" w:after="200" w:line="360"/>
        <w:ind w:right="0" w:left="709" w:firstLine="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prazo de validade da execução será de 12 (doze) meses, a partir da assinatura da Ata de Registro de Preço.</w:t>
      </w:r>
    </w:p>
    <w:p>
      <w:pPr>
        <w:numPr>
          <w:ilvl w:val="0"/>
          <w:numId w:val="50"/>
        </w:numPr>
        <w:suppressAutoHyphens w:val="true"/>
        <w:spacing w:before="0" w:after="0" w:line="360"/>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DAS EXECUÇÕES</w:t>
      </w:r>
    </w:p>
    <w:p>
      <w:pPr>
        <w:spacing w:before="0" w:after="200" w:line="360"/>
        <w:ind w:right="0" w:left="0" w:firstLine="709"/>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Nos preços apresentados deverão estar incluídos todos os custos necessários para o fornecimento dos mesmos, tais como, encargos fiscais, trabalhistas, previdenciários, fretes, seguros, mão de obra entre outros.</w:t>
      </w:r>
    </w:p>
    <w:p>
      <w:pPr>
        <w:numPr>
          <w:ilvl w:val="0"/>
          <w:numId w:val="52"/>
        </w:numPr>
        <w:suppressAutoHyphens w:val="true"/>
        <w:spacing w:before="0" w:after="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MÉTODOS E ESTRATÉGIAS DE SUPRIMENTO:</w:t>
      </w:r>
    </w:p>
    <w:p>
      <w:pPr>
        <w:numPr>
          <w:ilvl w:val="0"/>
          <w:numId w:val="52"/>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fornecimento será efetuado de acordo com a necessidade da Coordenação Funerária – SEMDS, sendo emitido um empenho para cada solicitação/compra;</w:t>
      </w:r>
    </w:p>
    <w:p>
      <w:pPr>
        <w:numPr>
          <w:ilvl w:val="0"/>
          <w:numId w:val="52"/>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 bens deverão ser entregues, rigorosamente, dentro das especificações estabelecidas no Edital e seus anexos, sendo a inobservância desta condição implicará recusa formal, com aplicação das penalidades previstas;</w:t>
      </w:r>
    </w:p>
    <w:p>
      <w:pPr>
        <w:numPr>
          <w:ilvl w:val="0"/>
          <w:numId w:val="52"/>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Em hipótese alguma será aceito material diferente do que foi cotado, que esteja em desacordo com avarias ou defeito de fabricação, ou que não atender as especificações do edital;</w:t>
      </w:r>
    </w:p>
    <w:p>
      <w:pPr>
        <w:numPr>
          <w:ilvl w:val="0"/>
          <w:numId w:val="52"/>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prazo máximo de entrega do material deverá ser de até 30 (trinta) dias, a contar do recebimento do empenho;</w:t>
      </w:r>
    </w:p>
    <w:p>
      <w:pPr>
        <w:numPr>
          <w:ilvl w:val="0"/>
          <w:numId w:val="52"/>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 produtos ofertados deverão ter validade de, no mínimo, 03 (três) meses, contados da data da entrega.</w:t>
      </w:r>
    </w:p>
    <w:p>
      <w:pPr>
        <w:numPr>
          <w:ilvl w:val="0"/>
          <w:numId w:val="52"/>
        </w:numPr>
        <w:suppressAutoHyphens w:val="true"/>
        <w:spacing w:before="0" w:after="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DA PROPOSTA DE PREÇO</w:t>
      </w:r>
    </w:p>
    <w:p>
      <w:pPr>
        <w:spacing w:before="0" w:after="200" w:line="36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Validade da proposta não poderá ser inferior a 60 (sessenta) dias, contados da data de sua apresentação.</w:t>
      </w:r>
    </w:p>
    <w:p>
      <w:pPr>
        <w:numPr>
          <w:ilvl w:val="0"/>
          <w:numId w:val="56"/>
        </w:numPr>
        <w:suppressAutoHyphens w:val="true"/>
        <w:spacing w:before="0" w:after="0" w:line="360"/>
        <w:ind w:right="0" w:left="36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EMISSÃO DA NOTA FISCAL E LOCAL DE ENTREGA</w:t>
      </w:r>
    </w:p>
    <w:p>
      <w:pPr>
        <w:numPr>
          <w:ilvl w:val="0"/>
          <w:numId w:val="56"/>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Notas fiscais deverão ser emitidas em favor da SECRETARIA MUNICIPAL DE DESENVOLVIMENTO SOCIAL, Rua João Caetano, 94 – Centro – Itaboraí. CNPJ nº 28.741.080/0001-55;</w:t>
      </w:r>
    </w:p>
    <w:p>
      <w:pPr>
        <w:numPr>
          <w:ilvl w:val="0"/>
          <w:numId w:val="56"/>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entrega deverá ser realizada em até 30 (trinta) dias após o recebimento da Nota de Empenho, no almoxarifado central, situado na Rua Dr. Pereira dos Santos, s/n – Centro – Itaboraí (No antigo restaurante popular), de segunda a sexta, em dias úteis, no horário de 09 as 16 horas.</w:t>
      </w:r>
    </w:p>
    <w:p>
      <w:pPr>
        <w:numPr>
          <w:ilvl w:val="0"/>
          <w:numId w:val="56"/>
        </w:numPr>
        <w:suppressAutoHyphens w:val="true"/>
        <w:spacing w:before="0" w:after="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DAS CONDIÇÕES DE PAGAMENTO</w:t>
      </w:r>
    </w:p>
    <w:p>
      <w:pPr>
        <w:spacing w:before="0" w:after="200" w:line="36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pagamento será em até 30 (trinta) dias após o adimplemento da obrigação, mediante a apresentação da Nota Fiscal no local da entrega.</w:t>
      </w:r>
    </w:p>
    <w:p>
      <w:pPr>
        <w:numPr>
          <w:ilvl w:val="0"/>
          <w:numId w:val="60"/>
        </w:numPr>
        <w:suppressAutoHyphens w:val="true"/>
        <w:spacing w:before="0" w:after="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DAS OBRIGAÇÕES DA CONTRATADA</w:t>
      </w:r>
    </w:p>
    <w:p>
      <w:pPr>
        <w:numPr>
          <w:ilvl w:val="0"/>
          <w:numId w:val="60"/>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Efetuar a entrega dos bens em perfeitas condições, no prazo e local indicados, m estrita observância das especificações deste Termo de Referência e da proposta, acompanhado da respectiva nota fiscal constando detalhadamente as indicações da marca, fabricante, tipo, procedência e prazo de garantia;</w:t>
      </w:r>
    </w:p>
    <w:p>
      <w:pPr>
        <w:numPr>
          <w:ilvl w:val="0"/>
          <w:numId w:val="60"/>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Responsabilizar-se pelos vícios e danos decorrentes do produto, de acordo com os artigos 12, 13 e 17 a 27 do Código de Defesa do Consumidor (Lei nº 8.078/1990);</w:t>
      </w:r>
    </w:p>
    <w:p>
      <w:pPr>
        <w:numPr>
          <w:ilvl w:val="0"/>
          <w:numId w:val="60"/>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 após o recebimento definitivo do produto for encontrado algum defeito, o fornecedor substituirá o item no prazo de 10 (dez) dias úteis, contados do recebimento do aviso escrito enviado por fax, e-mail ou outro meio hábil;</w:t>
      </w:r>
    </w:p>
    <w:p>
      <w:pPr>
        <w:numPr>
          <w:ilvl w:val="0"/>
          <w:numId w:val="60"/>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Comunicar por escrito a administração, qualquer anormalidade de caráter urgente e prestar os esclarecimentos que julgar necessário;</w:t>
      </w:r>
    </w:p>
    <w:p>
      <w:pPr>
        <w:numPr>
          <w:ilvl w:val="0"/>
          <w:numId w:val="60"/>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Manter, durante toda a execução do contrato, em compatibilidade com as obrigações assumidas, todas as condições de habilitação e qualificação exigidas na licitação;</w:t>
      </w:r>
    </w:p>
    <w:p>
      <w:pPr>
        <w:numPr>
          <w:ilvl w:val="0"/>
          <w:numId w:val="60"/>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Acatar as determinações dos responsáveis pelo recebimento e conferência dos materiais;</w:t>
      </w:r>
    </w:p>
    <w:p>
      <w:pPr>
        <w:numPr>
          <w:ilvl w:val="0"/>
          <w:numId w:val="60"/>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fornecimento dos produtos, de cada nota de empenho, deverá ocorrer em parcela única;</w:t>
      </w:r>
    </w:p>
    <w:p>
      <w:pPr>
        <w:numPr>
          <w:ilvl w:val="0"/>
          <w:numId w:val="60"/>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Abster-se de subcontratar total ou parcial o objeto contratado;</w:t>
      </w:r>
    </w:p>
    <w:p>
      <w:pPr>
        <w:numPr>
          <w:ilvl w:val="0"/>
          <w:numId w:val="60"/>
        </w:numPr>
        <w:suppressAutoHyphens w:val="true"/>
        <w:spacing w:before="0" w:after="0" w:line="360"/>
        <w:ind w:right="0" w:left="792" w:hanging="432"/>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Arcar com todos os encargos decorrentes da presente contratação, especialmente os referentes a frente, taxas, seguros, encargos sociais e trabalhistas;</w:t>
      </w:r>
    </w:p>
    <w:p>
      <w:pPr>
        <w:spacing w:before="0" w:after="200" w:line="360"/>
        <w:ind w:right="0" w:left="0" w:firstLine="0"/>
        <w:jc w:val="both"/>
        <w:rPr>
          <w:rFonts w:ascii="Calibri" w:hAnsi="Calibri" w:cs="Calibri" w:eastAsia="Calibri"/>
          <w:color w:val="auto"/>
          <w:spacing w:val="0"/>
          <w:position w:val="0"/>
          <w:sz w:val="22"/>
          <w:shd w:fill="auto" w:val="clear"/>
        </w:rPr>
      </w:pPr>
    </w:p>
    <w:p>
      <w:pPr>
        <w:numPr>
          <w:ilvl w:val="0"/>
          <w:numId w:val="63"/>
        </w:numPr>
        <w:suppressAutoHyphens w:val="true"/>
        <w:spacing w:before="0" w:after="0" w:line="360"/>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DA LEGALIDADE</w:t>
      </w:r>
    </w:p>
    <w:p>
      <w:pPr>
        <w:spacing w:before="0" w:after="200" w:line="36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Todos os atos do presente instrumento sujeitam-se integralmente as normas das Leis nº 8.666/93, nº 10.520/2002 e Decreto Municipal nº 24/2020.</w:t>
      </w:r>
    </w:p>
    <w:p>
      <w:pPr>
        <w:spacing w:before="0" w:after="200" w:line="360"/>
        <w:ind w:right="0" w:left="36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41">
    <w:abstractNumId w:val="48"/>
  </w:num>
  <w:num w:numId="43">
    <w:abstractNumId w:val="42"/>
  </w:num>
  <w:num w:numId="46">
    <w:abstractNumId w:val="36"/>
  </w:num>
  <w:num w:numId="48">
    <w:abstractNumId w:val="30"/>
  </w:num>
  <w:num w:numId="50">
    <w:abstractNumId w:val="24"/>
  </w:num>
  <w:num w:numId="52">
    <w:abstractNumId w:val="18"/>
  </w:num>
  <w:num w:numId="56">
    <w:abstractNumId w:val="12"/>
  </w:num>
  <w:num w:numId="60">
    <w:abstractNumId w:val="6"/>
  </w:num>
  <w:num w:numId="6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