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15" w:rsidRDefault="002C1240">
      <w:pPr>
        <w:tabs>
          <w:tab w:val="center" w:pos="4252"/>
          <w:tab w:val="right" w:pos="8504"/>
        </w:tabs>
        <w:suppressAutoHyphens/>
        <w:spacing w:after="0" w:line="360" w:lineRule="auto"/>
        <w:ind w:left="567" w:right="51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PREFEITURA MUNICIPAL DE ITABORAÍ</w:t>
      </w:r>
      <w:r>
        <w:rPr>
          <w:rFonts w:ascii="Times New Roman" w:eastAsia="Times New Roman" w:hAnsi="Times New Roman" w:cs="Times New Roman"/>
          <w:sz w:val="24"/>
        </w:rPr>
        <w:br/>
        <w:t>ESTADO DO RIO DE JANEIRO</w:t>
      </w:r>
    </w:p>
    <w:p w:rsidR="00701D15" w:rsidRDefault="002C1240">
      <w:pPr>
        <w:tabs>
          <w:tab w:val="center" w:pos="4252"/>
          <w:tab w:val="right" w:pos="8504"/>
        </w:tabs>
        <w:suppressAutoHyphens/>
        <w:spacing w:after="0" w:line="240" w:lineRule="auto"/>
        <w:ind w:left="567" w:right="51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SECRETARIA DE COMPRAS LICITAÇÕES E CONTRATOS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701D15" w:rsidRDefault="002C1240">
      <w:pPr>
        <w:spacing w:before="107" w:after="0" w:line="240" w:lineRule="auto"/>
        <w:ind w:left="567" w:right="51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sz w:val="24"/>
        </w:rPr>
        <w:t>TERMO DE REFERÊNCIA</w:t>
      </w:r>
    </w:p>
    <w:p w:rsidR="00701D15" w:rsidRDefault="002C1240">
      <w:pPr>
        <w:keepNext/>
        <w:keepLines/>
        <w:numPr>
          <w:ilvl w:val="0"/>
          <w:numId w:val="1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OBJETO</w:t>
      </w:r>
    </w:p>
    <w:p w:rsidR="00701D15" w:rsidRDefault="002C1240">
      <w:pPr>
        <w:keepNext/>
        <w:keepLines/>
        <w:numPr>
          <w:ilvl w:val="0"/>
          <w:numId w:val="1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Contratação de serviço de arbitragem desportiva em diversas modalidades esportivas para realização dos jogos promovidos pela Secretaria Municipal de Esporte e Lazer - SEMEL, conforme condições, quantidades e exigências estabelecidas neste instrumento: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92"/>
        <w:gridCol w:w="2352"/>
        <w:gridCol w:w="2804"/>
        <w:gridCol w:w="1100"/>
        <w:gridCol w:w="1474"/>
      </w:tblGrid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ITEM</w:t>
            </w:r>
          </w:p>
          <w:p w:rsidR="00701D15" w:rsidRDefault="00701D1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EVENTOS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DESCRIÇÃO/</w:t>
            </w:r>
          </w:p>
          <w:p w:rsidR="00701D15" w:rsidRDefault="002C12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Quantidade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Play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offs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dos campeões de futebol comunitário;</w:t>
            </w:r>
          </w:p>
          <w:p w:rsidR="00701D15" w:rsidRDefault="002C1240">
            <w:pPr>
              <w:tabs>
                <w:tab w:val="left" w:pos="459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Campeonato municipal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fu</w:t>
            </w:r>
            <w:proofErr w:type="spellEnd"/>
            <w:r w:rsidR="00701D15">
              <w:object w:dxaOrig="1437" w:dyaOrig="1276">
                <v:rect id="rectole0000000000" o:spid="_x0000_i1025" style="width:1in;height:63.75pt" o:ole="" o:preferrelative="t" stroked="f">
                  <v:imagedata r:id="rId5" o:title=""/>
                </v:rect>
                <o:OLEObject Type="Embed" ProgID="StaticMetafile" ShapeID="rectole0000000000" DrawAspect="Content" ObjectID="_1705748119" r:id="rId6"/>
              </w:objec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tebol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veterano;</w:t>
            </w: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Campeonato municipal de futebol sub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Campeonato municipal de futebol sub 11;</w:t>
            </w: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Campeonato municipal de futebol sub 13;</w:t>
            </w: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Campeonato municipal de futebol sub 15; e</w:t>
            </w: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Campeonato municipal de futebol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adulto.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ARBITRAGEM COMPLETA FUTEBOL DE CAMPO CATEGORIA AMADOR ADULTO. ARBITRAGEM COMPLETA, 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CLUÍDAS TODAS AS DESPESAS COMO TRANSPORTE, ALIMENTAÇÃO E OUTRAS.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  <w:p w:rsidR="00701D15" w:rsidRDefault="00701D15">
            <w:pPr>
              <w:suppressAutoHyphens/>
              <w:spacing w:after="120"/>
            </w:pP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Copa Itaboraí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Jitsu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ARBITRAGEM COMPLETA ESPECIALIZADA DE JIU JITSU. INCLUÍDAS TODAS AS DESPESAS COMO TRANSPORTE, ALIMENTAÇÃO E OUTRAS.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LUTA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Copa Itaboraí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kwon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ARBITRAGEM COMPLETA ESPECIALIZADA DE TAE KWON DO. INCLUÍDAS TODAS AS DESPESAS COMO TRANSPORTE, ALIMENTAÇÃO E OUTRAS.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Copa Itaboraí de HANDEBOL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ARBITRAGEM COMPLETA ESPECIALIZADA DE HANDEBOL. INCLUÍDAS TODAS AS DESPESAS COMO TRANSPORTE, ALIMENTAÇÃO E OUTRAS.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  <w:p w:rsidR="00701D15" w:rsidRDefault="00701D15">
            <w:pPr>
              <w:suppressAutoHyphens/>
              <w:spacing w:after="120"/>
              <w:jc w:val="center"/>
            </w:pP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Copa Itaboraí de VOLEIBOL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ARBITRAGEM COMPLETA ESPECIALIZADA DE VOLEIBOL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INCLUÍDAS TODAS AS DESPESAS COMO TRANSPORTE, ALIMENTAÇÃO E OUTRAS.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Copa Itaboraí de BASQUETEBOL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ARBITRAGEM COMPLETA ESPACIALIZADA EM BASQUETEBOL, INCLUÍDAS TODAS AS DESPESAS COMO TRANSPORTE, ALIMENTAÇÃO E OUTRAS.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JG</w:t>
            </w:r>
          </w:p>
          <w:p w:rsidR="00701D15" w:rsidRDefault="00701D15">
            <w:pPr>
              <w:suppressAutoHyphens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Copa Itaboraí de RUGBY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suppressAutoHyphens/>
              <w:spacing w:after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ARBITRAGEM COMPLETA ESPECIALIZADA DE RUGBY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INCLUÍDAS TODAS AS DESPESAS COMO TRANSPORTE, ALIMENTAÇÃO E OUTRAS.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701D15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1D15" w:rsidRDefault="002C1240">
            <w:pPr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</w:tbl>
    <w:p w:rsidR="00701D15" w:rsidRDefault="00701D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701D15" w:rsidRDefault="002C1240">
      <w:pPr>
        <w:numPr>
          <w:ilvl w:val="0"/>
          <w:numId w:val="2"/>
        </w:num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itens abaixo descritos são os serviços a serem contratados pelo SEMEL, devendo as propostas de preços </w:t>
      </w:r>
      <w:proofErr w:type="gramStart"/>
      <w:r>
        <w:rPr>
          <w:rFonts w:ascii="Times New Roman" w:eastAsia="Times New Roman" w:hAnsi="Times New Roman" w:cs="Times New Roman"/>
          <w:sz w:val="24"/>
        </w:rPr>
        <w:t>serem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condizentes com o exigido neste documento, considerando que os serviços deverão guardar perfeita compatibilização com as especificações, quantida</w:t>
      </w:r>
      <w:r>
        <w:rPr>
          <w:rFonts w:ascii="Times New Roman" w:eastAsia="Times New Roman" w:hAnsi="Times New Roman" w:cs="Times New Roman"/>
          <w:sz w:val="24"/>
        </w:rPr>
        <w:t>des e condições descritas neste Termo de Referência.</w:t>
      </w:r>
    </w:p>
    <w:p w:rsidR="00701D15" w:rsidRDefault="00701D15">
      <w:p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3"/>
        </w:num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contrato terá vigência pelo período de 12 (meses), podendo ser prorrogado, com base no artigo 57, §1º, da Lei n. 8.666/93, caso haja necessidade de adiamento dos eventos.</w:t>
      </w:r>
    </w:p>
    <w:p w:rsidR="00701D15" w:rsidRDefault="002C1240">
      <w:pPr>
        <w:keepNext/>
        <w:keepLines/>
        <w:numPr>
          <w:ilvl w:val="0"/>
          <w:numId w:val="3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JUSTIFICATIVA E OBJETIVO DA CONTRATAÇÃO</w:t>
      </w:r>
    </w:p>
    <w:p w:rsidR="00701D15" w:rsidRDefault="002C1240">
      <w:pPr>
        <w:numPr>
          <w:ilvl w:val="0"/>
          <w:numId w:val="3"/>
        </w:numPr>
        <w:spacing w:before="120" w:after="120"/>
        <w:ind w:left="716" w:hanging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Justifica-se o presente pedido, tendo em vista que a Prefeitura Municipal de Itaboraí, através da Secretaria Municipal de Esporte e Lazer – SEMEL</w:t>
      </w:r>
      <w:proofErr w:type="gramStart"/>
      <w:r>
        <w:rPr>
          <w:rFonts w:ascii="Times New Roman" w:eastAsia="Times New Roman" w:hAnsi="Times New Roman" w:cs="Times New Roman"/>
          <w:sz w:val="24"/>
        </w:rPr>
        <w:t>, tem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como uma das principais metas, proporcionar melhor condição de vi</w:t>
      </w:r>
      <w:r>
        <w:rPr>
          <w:rFonts w:ascii="Times New Roman" w:eastAsia="Times New Roman" w:hAnsi="Times New Roman" w:cs="Times New Roman"/>
          <w:sz w:val="24"/>
        </w:rPr>
        <w:t>da para os munícipes. Através da realização de eventos esportivos, poderá levar às comunidades da zona urbana e rural o esporte e o lazer, a diversão e a prática de atividade física saudável. Portanto, desenvolvemos programas e atividades esportivas em qua</w:t>
      </w:r>
      <w:r>
        <w:rPr>
          <w:rFonts w:ascii="Times New Roman" w:eastAsia="Times New Roman" w:hAnsi="Times New Roman" w:cs="Times New Roman"/>
          <w:sz w:val="24"/>
        </w:rPr>
        <w:t xml:space="preserve">se todas as modalidades e categorias dentro do nosso município. </w:t>
      </w:r>
    </w:p>
    <w:p w:rsidR="00701D15" w:rsidRDefault="002C1240">
      <w:pPr>
        <w:numPr>
          <w:ilvl w:val="0"/>
          <w:numId w:val="3"/>
        </w:numPr>
        <w:spacing w:before="120" w:after="120"/>
        <w:ind w:left="716" w:hanging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Levando em consideração os princípios básicos de promoção do bem-estar comum, a SEMEL tem programado diversos eventos esportivos, incluindo diferentes atividades e modalidades esportivas no n</w:t>
      </w:r>
      <w:r>
        <w:rPr>
          <w:rFonts w:ascii="Times New Roman" w:eastAsia="Times New Roman" w:hAnsi="Times New Roman" w:cs="Times New Roman"/>
          <w:sz w:val="24"/>
        </w:rPr>
        <w:t>osso município.</w:t>
      </w:r>
    </w:p>
    <w:p w:rsidR="00701D15" w:rsidRDefault="002C1240">
      <w:pPr>
        <w:numPr>
          <w:ilvl w:val="0"/>
          <w:numId w:val="3"/>
        </w:numPr>
        <w:spacing w:before="120" w:after="120"/>
        <w:ind w:left="716" w:hanging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Assim sendo, ressaltamos que é de grande importância para o município a realização dos eventos esportivos, possibilitando aos atletas de Itaboraí participar gratuitamente dos campeonatos e trazendo visibilidade para o nosso município.</w:t>
      </w:r>
    </w:p>
    <w:p w:rsidR="00701D15" w:rsidRDefault="002C1240">
      <w:pPr>
        <w:numPr>
          <w:ilvl w:val="0"/>
          <w:numId w:val="3"/>
        </w:numPr>
        <w:spacing w:before="120" w:after="120"/>
        <w:ind w:left="716" w:hanging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a a</w:t>
      </w:r>
      <w:r>
        <w:rPr>
          <w:rFonts w:ascii="Times New Roman" w:eastAsia="Times New Roman" w:hAnsi="Times New Roman" w:cs="Times New Roman"/>
          <w:sz w:val="24"/>
        </w:rPr>
        <w:t>rbitragem, nesse contexto, revela-se essencial à regularidade das partidas disputadas em campeonatos e torneios locais por conferir condições de oficialidade.</w:t>
      </w:r>
    </w:p>
    <w:p w:rsidR="00701D15" w:rsidRDefault="002C1240">
      <w:pPr>
        <w:keepNext/>
        <w:keepLines/>
        <w:numPr>
          <w:ilvl w:val="0"/>
          <w:numId w:val="3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 CLASSIFICAÇÃO DOS SERVIÇOS E FORMA DE SELEÇÃO DO FORNECEDOR</w:t>
      </w:r>
    </w:p>
    <w:p w:rsidR="00701D15" w:rsidRDefault="002C1240">
      <w:pPr>
        <w:numPr>
          <w:ilvl w:val="0"/>
          <w:numId w:val="3"/>
        </w:num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serviços a serem contratados co</w:t>
      </w:r>
      <w:r>
        <w:rPr>
          <w:rFonts w:ascii="Times New Roman" w:eastAsia="Times New Roman" w:hAnsi="Times New Roman" w:cs="Times New Roman"/>
          <w:sz w:val="24"/>
        </w:rPr>
        <w:t xml:space="preserve">nstituem também as atividades materiais e acessórias, instrumentais ou complementares à área de competência legal do órgão licitante. A mão de obra envolvida em todo o escopo da prestação dos serviços </w:t>
      </w:r>
      <w:proofErr w:type="gramStart"/>
      <w:r>
        <w:rPr>
          <w:rFonts w:ascii="Times New Roman" w:eastAsia="Times New Roman" w:hAnsi="Times New Roman" w:cs="Times New Roman"/>
          <w:sz w:val="24"/>
        </w:rPr>
        <w:t>são indispensáveis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para a eficácia do objeto e será de </w:t>
      </w:r>
      <w:r>
        <w:rPr>
          <w:rFonts w:ascii="Times New Roman" w:eastAsia="Times New Roman" w:hAnsi="Times New Roman" w:cs="Times New Roman"/>
          <w:sz w:val="24"/>
        </w:rPr>
        <w:t xml:space="preserve">total responsabilidade da empresa Contratada. </w:t>
      </w:r>
    </w:p>
    <w:p w:rsidR="00701D15" w:rsidRDefault="002C1240">
      <w:pPr>
        <w:numPr>
          <w:ilvl w:val="0"/>
          <w:numId w:val="3"/>
        </w:num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prestação dos serviços não gera vínculo empregatício entre os empregados da Contratada e a Administração Contratante, vedando-se qualquer relação entre estes que caracterize pessoalidade e subordinação diret</w:t>
      </w:r>
      <w:r>
        <w:rPr>
          <w:rFonts w:ascii="Times New Roman" w:eastAsia="Times New Roman" w:hAnsi="Times New Roman" w:cs="Times New Roman"/>
          <w:sz w:val="24"/>
        </w:rPr>
        <w:t>a.</w:t>
      </w:r>
    </w:p>
    <w:p w:rsidR="00701D15" w:rsidRDefault="002C1240">
      <w:pPr>
        <w:keepNext/>
        <w:keepLines/>
        <w:numPr>
          <w:ilvl w:val="0"/>
          <w:numId w:val="3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FORMA DE PRESTAÇÃO DO SERVIÇO</w:t>
      </w:r>
    </w:p>
    <w:p w:rsidR="00701D15" w:rsidRDefault="00701D15">
      <w:pPr>
        <w:suppressAutoHyphens/>
        <w:spacing w:after="120"/>
        <w:ind w:left="716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4"/>
        </w:numPr>
        <w:suppressAutoHyphens/>
        <w:spacing w:after="120"/>
        <w:ind w:left="716" w:hanging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Requisitos Funcionais:</w:t>
      </w:r>
    </w:p>
    <w:p w:rsidR="00701D15" w:rsidRDefault="002C1240">
      <w:pPr>
        <w:numPr>
          <w:ilvl w:val="0"/>
          <w:numId w:val="4"/>
        </w:numPr>
        <w:suppressAutoHyphens/>
        <w:spacing w:after="120"/>
        <w:ind w:left="1922" w:hanging="5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Prestação de serviço de arbitragem, que inclui:</w:t>
      </w:r>
    </w:p>
    <w:p w:rsidR="00701D15" w:rsidRDefault="002C1240">
      <w:pPr>
        <w:numPr>
          <w:ilvl w:val="0"/>
          <w:numId w:val="4"/>
        </w:num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Prestação de serviços de arbitragem de qualidade e eficácia dentro das regras atualizadas do futebol; </w:t>
      </w:r>
    </w:p>
    <w:p w:rsidR="00701D15" w:rsidRDefault="002C1240">
      <w:pPr>
        <w:numPr>
          <w:ilvl w:val="0"/>
          <w:numId w:val="4"/>
        </w:num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Prestação de serviços de arbitragem de qualidade</w:t>
      </w:r>
      <w:r>
        <w:rPr>
          <w:rFonts w:ascii="Times New Roman" w:eastAsia="Times New Roman" w:hAnsi="Times New Roman" w:cs="Times New Roman"/>
          <w:sz w:val="24"/>
        </w:rPr>
        <w:t xml:space="preserve"> e eficácia dentro das regras atualizadas do </w:t>
      </w:r>
      <w:proofErr w:type="spellStart"/>
      <w:r>
        <w:rPr>
          <w:rFonts w:ascii="Times New Roman" w:eastAsia="Times New Roman" w:hAnsi="Times New Roman" w:cs="Times New Roman"/>
          <w:sz w:val="24"/>
        </w:rPr>
        <w:t>Jiu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Jitsu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4.1.1.3. Prestação de serviços de arbitragem de qualidade e eficácia dentro das regras atualizadas do </w:t>
      </w:r>
      <w:proofErr w:type="spellStart"/>
      <w:r>
        <w:rPr>
          <w:rFonts w:ascii="Times New Roman" w:eastAsia="Times New Roman" w:hAnsi="Times New Roman" w:cs="Times New Roman"/>
          <w:sz w:val="24"/>
        </w:rPr>
        <w:t>Tae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Kwon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Do; 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4.1.1.4. Prestação de serviços de arbitragem de qualidade e eficácia dentro das regras atualizadas do Handebol; 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4.1.1.5. Prestação de serviços de arbitragem de qualidade e eficácia dentro das regras atualizadas do Voleibol; 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4.1.1.6. Prestação de serviços</w:t>
      </w:r>
      <w:r>
        <w:rPr>
          <w:rFonts w:ascii="Times New Roman" w:eastAsia="Times New Roman" w:hAnsi="Times New Roman" w:cs="Times New Roman"/>
          <w:sz w:val="24"/>
        </w:rPr>
        <w:t xml:space="preserve"> de arbitragem de qualidade e eficácia dentro das regras atualizadas do Basquetebol; 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4.1.1.7 Prestação de serviços de arbitragem de qualidade e eficácia dentro das regras atualizadas do </w:t>
      </w:r>
      <w:proofErr w:type="spellStart"/>
      <w:r>
        <w:rPr>
          <w:rFonts w:ascii="Times New Roman" w:eastAsia="Times New Roman" w:hAnsi="Times New Roman" w:cs="Times New Roman"/>
          <w:sz w:val="24"/>
        </w:rPr>
        <w:t>Rugby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4.1.1.8 Toda a prestação dos serviços de arbitragem deverá se</w:t>
      </w:r>
      <w:r>
        <w:rPr>
          <w:rFonts w:ascii="Times New Roman" w:eastAsia="Times New Roman" w:hAnsi="Times New Roman" w:cs="Times New Roman"/>
          <w:sz w:val="24"/>
        </w:rPr>
        <w:t>r isenta e profissional;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4.1.1.9 Constatada alguma irregularidade pela Comissão Organizadora, a empresa sofrerá notificação a ser emitida pela Contratante;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4.1.1.10 Toda a prestação dos serviços de arbitragem deverá estar dentro das normas, Confederação B</w:t>
      </w:r>
      <w:r>
        <w:rPr>
          <w:rFonts w:ascii="Times New Roman" w:eastAsia="Times New Roman" w:hAnsi="Times New Roman" w:cs="Times New Roman"/>
          <w:sz w:val="24"/>
        </w:rPr>
        <w:t xml:space="preserve">rasileira de Futebol, </w:t>
      </w:r>
      <w:proofErr w:type="spellStart"/>
      <w:r>
        <w:rPr>
          <w:rFonts w:ascii="Times New Roman" w:eastAsia="Times New Roman" w:hAnsi="Times New Roman" w:cs="Times New Roman"/>
          <w:sz w:val="24"/>
        </w:rPr>
        <w:t>Jiu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Jitsu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Kwon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Handebol, Voleibol, Basquetebol, </w:t>
      </w:r>
      <w:proofErr w:type="spellStart"/>
      <w:r>
        <w:rPr>
          <w:rFonts w:ascii="Times New Roman" w:eastAsia="Times New Roman" w:hAnsi="Times New Roman" w:cs="Times New Roman"/>
          <w:sz w:val="24"/>
        </w:rPr>
        <w:t>Rugby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701D15" w:rsidRDefault="002C1240">
      <w:pPr>
        <w:suppressAutoHyphens/>
        <w:spacing w:after="120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4.1.1.11 As equipes de arbitragens deverão estar uniformizadas, e com todos os materiais e insumos necessários para a realização do serviço de acordo com as regras de cada m</w:t>
      </w:r>
      <w:r>
        <w:rPr>
          <w:rFonts w:ascii="Times New Roman" w:eastAsia="Times New Roman" w:hAnsi="Times New Roman" w:cs="Times New Roman"/>
          <w:sz w:val="24"/>
        </w:rPr>
        <w:t>odalidade (uniforme, súmulas, apitos, cronômetros, bandeiras, etc.); e</w:t>
      </w:r>
    </w:p>
    <w:p w:rsidR="00701D15" w:rsidRDefault="002C1240">
      <w:pPr>
        <w:suppressAutoHyphens/>
        <w:spacing w:after="120"/>
        <w:ind w:left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4.1.1.12. Cada </w:t>
      </w:r>
      <w:proofErr w:type="gramStart"/>
      <w:r>
        <w:rPr>
          <w:rFonts w:ascii="Times New Roman" w:eastAsia="Times New Roman" w:hAnsi="Times New Roman" w:cs="Times New Roman"/>
          <w:sz w:val="24"/>
        </w:rPr>
        <w:t>arbitro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 equipe de arbitragem deverá ser registrado e/ou filiado na confederação nacional e/ou federação estadual específica da modalidade, apresentando documentação d</w:t>
      </w:r>
      <w:r>
        <w:rPr>
          <w:rFonts w:ascii="Times New Roman" w:eastAsia="Times New Roman" w:hAnsi="Times New Roman" w:cs="Times New Roman"/>
          <w:sz w:val="24"/>
        </w:rPr>
        <w:t>e experiência de jogos a nível regional ou superior, como condições para participar no certame.</w:t>
      </w:r>
    </w:p>
    <w:p w:rsidR="00701D15" w:rsidRDefault="002C1240">
      <w:pPr>
        <w:suppressAutoHyphens/>
        <w:spacing w:after="120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Dos Requisitos Legais:</w:t>
      </w:r>
    </w:p>
    <w:p w:rsidR="00701D15" w:rsidRDefault="002C1240">
      <w:pPr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 As normas legais aplicáveis ao processo licitatório do tipo pregão presencial são as relacionadas a seguir:</w:t>
      </w:r>
    </w:p>
    <w:p w:rsidR="00701D15" w:rsidRDefault="002C1240">
      <w:pPr>
        <w:suppressAutoHyphens/>
        <w:spacing w:after="120"/>
        <w:ind w:left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4.2.1.1. Lei n° 8</w:t>
      </w:r>
      <w:r>
        <w:rPr>
          <w:rFonts w:ascii="Times New Roman" w:eastAsia="Times New Roman" w:hAnsi="Times New Roman" w:cs="Times New Roman"/>
          <w:sz w:val="24"/>
        </w:rPr>
        <w:t xml:space="preserve">.666/1993: institui normas para licitações e contratos da Administração Pública; </w:t>
      </w:r>
    </w:p>
    <w:p w:rsidR="00701D15" w:rsidRDefault="002C1240">
      <w:pPr>
        <w:suppressAutoHyphens/>
        <w:spacing w:after="120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4.2.1.2. Lei n° 9.615/1998: dispõe sobre o desporto; e</w:t>
      </w:r>
    </w:p>
    <w:p w:rsidR="00701D15" w:rsidRDefault="002C1240">
      <w:pPr>
        <w:suppressAutoHyphens/>
        <w:spacing w:after="120"/>
        <w:ind w:left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4.2.1.3. Lei nº 10.520/2002: institui, no âmbito da União, Estados, Distrito Federal e Municípios, nos termos do art. 3</w:t>
      </w:r>
      <w:r>
        <w:rPr>
          <w:rFonts w:ascii="Times New Roman" w:eastAsia="Times New Roman" w:hAnsi="Times New Roman" w:cs="Times New Roman"/>
          <w:sz w:val="24"/>
        </w:rPr>
        <w:t>7, inciso XXI, da Constituição Federal, modalidade de licitação denominada pregão, para aquisição de bens e serviços comuns, e dá outras providências.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INFORMAÇÕES RELEVANTES PARA O DIMENSIONAMENTO DA PROPOSTA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fornecedor contratado deverá: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Possuir pessoal de serviço e quantidade e com as qualificações necessárias à perfeita execução dos serviços de arbitragem;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Manter pessoal permanente uniformizado e/ou convenientemente trajado, de acordo com as funções que exerçam;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valor proposta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empre</w:t>
      </w:r>
      <w:r>
        <w:rPr>
          <w:rFonts w:ascii="Times New Roman" w:eastAsia="Times New Roman" w:hAnsi="Times New Roman" w:cs="Times New Roman"/>
          <w:sz w:val="24"/>
        </w:rPr>
        <w:t>sa licitante deverá incluir todos os custos necessários à prestação dos serviços tais como, uniformes, materiais, alimentação e deslocamento dos prestadores de serviço; e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Os pagamentos serão realizados com periodicidade mensal e abrangerão apenas os jogos </w:t>
      </w:r>
      <w:r>
        <w:rPr>
          <w:rFonts w:ascii="Times New Roman" w:eastAsia="Times New Roman" w:hAnsi="Times New Roman" w:cs="Times New Roman"/>
          <w:sz w:val="24"/>
        </w:rPr>
        <w:t>efetivamente arbitrados.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MATERIAIS A SEREM DISPONIBILIZADOS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 w:line="360" w:lineRule="auto"/>
        <w:ind w:left="85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Para a perfeita execução dos serviços, a Contratada deverá disponibilizar os materiais, equipamentos, ferramentas e utensílios necessários, promovendo sua substituição quando necessário.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OBRIGAÇÕES DA CONTRATANTE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Exigir o cumprimento de todas as obrigações assumidas pela Contratada, de acordo com as cláusulas contratuais e os termos de sua proposta;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Exercer o acompanhamento e a fiscalização dos serviços, por servidor ou comissão especialme</w:t>
      </w:r>
      <w:r>
        <w:rPr>
          <w:rFonts w:ascii="Times New Roman" w:eastAsia="Times New Roman" w:hAnsi="Times New Roman" w:cs="Times New Roman"/>
          <w:sz w:val="24"/>
        </w:rPr>
        <w:t>nte designados, anotando em registro próprio as falhas detectadas, indicando dia, mês e ano, bem como o nome dos empregados eventualmente envolvidos, e encaminhando os apontamentos à autoridade competente para as providências cabíveis;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Notificar a Contrata</w:t>
      </w:r>
      <w:r>
        <w:rPr>
          <w:rFonts w:ascii="Times New Roman" w:eastAsia="Times New Roman" w:hAnsi="Times New Roman" w:cs="Times New Roman"/>
          <w:sz w:val="24"/>
        </w:rPr>
        <w:t>da por escrito da ocorrência de eventuais imperfeições, falhas ou irregularidades constatadas no curso da execução dos serviços, fixando prazo para a sua correção, certificando-se que as soluções por ela propostas sejam as mais adequadas;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Pagar à Contratad</w:t>
      </w:r>
      <w:r>
        <w:rPr>
          <w:rFonts w:ascii="Times New Roman" w:eastAsia="Times New Roman" w:hAnsi="Times New Roman" w:cs="Times New Roman"/>
          <w:sz w:val="24"/>
        </w:rPr>
        <w:t>a o valor resultante da prestação do serviço, no prazo e condições estabelecidas neste Termo de Referência;</w:t>
      </w:r>
    </w:p>
    <w:p w:rsidR="00701D15" w:rsidRDefault="002C1240">
      <w:pPr>
        <w:numPr>
          <w:ilvl w:val="0"/>
          <w:numId w:val="5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Não praticar atos de ingerência na administração da Contratada, tais como:</w:t>
      </w:r>
    </w:p>
    <w:p w:rsidR="00701D15" w:rsidRDefault="002C1240">
      <w:pPr>
        <w:numPr>
          <w:ilvl w:val="0"/>
          <w:numId w:val="5"/>
        </w:numPr>
        <w:spacing w:before="120" w:after="120"/>
        <w:ind w:left="113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exercer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poder de mando sobre os empregados da Contratada, devendo repor</w:t>
      </w:r>
      <w:r>
        <w:rPr>
          <w:rFonts w:ascii="Times New Roman" w:eastAsia="Times New Roman" w:hAnsi="Times New Roman" w:cs="Times New Roman"/>
          <w:sz w:val="24"/>
        </w:rPr>
        <w:t>tar-se somente aos prepostos ou responsáveis por ela indicados, exceto quando o objeto da contratação previr o atendimento direto, tais como nos serviços de recepção e apoio ao usuário;</w:t>
      </w:r>
    </w:p>
    <w:p w:rsidR="00701D15" w:rsidRDefault="002C1240">
      <w:pPr>
        <w:numPr>
          <w:ilvl w:val="0"/>
          <w:numId w:val="5"/>
        </w:numPr>
        <w:spacing w:before="120" w:after="120"/>
        <w:ind w:left="113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direcionar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contratação de pessoas para trabalhar nas empresas Contra</w:t>
      </w:r>
      <w:r>
        <w:rPr>
          <w:rFonts w:ascii="Times New Roman" w:eastAsia="Times New Roman" w:hAnsi="Times New Roman" w:cs="Times New Roman"/>
          <w:sz w:val="24"/>
        </w:rPr>
        <w:t>tadas;</w:t>
      </w:r>
    </w:p>
    <w:p w:rsidR="00701D15" w:rsidRDefault="002C1240">
      <w:pPr>
        <w:numPr>
          <w:ilvl w:val="0"/>
          <w:numId w:val="5"/>
        </w:numPr>
        <w:spacing w:before="120" w:after="120"/>
        <w:ind w:left="113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promover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ou aceitar o desvio de funções dos trabalhadores da Contratada, mediante a utilização destes em atividades distintas daquelas previstas no objeto da contratação e em relação à função específica para a qual o trabalhador foi contratado; e</w:t>
      </w:r>
    </w:p>
    <w:p w:rsidR="00701D15" w:rsidRDefault="002C1240">
      <w:pPr>
        <w:numPr>
          <w:ilvl w:val="0"/>
          <w:numId w:val="5"/>
        </w:numPr>
        <w:spacing w:before="120" w:after="120"/>
        <w:ind w:left="113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co</w:t>
      </w:r>
      <w:r>
        <w:rPr>
          <w:rFonts w:ascii="Times New Roman" w:eastAsia="Times New Roman" w:hAnsi="Times New Roman" w:cs="Times New Roman"/>
          <w:sz w:val="24"/>
        </w:rPr>
        <w:t>nsiderar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os trabalhadores da Contratada como colaboradores eventuais do próprio órgão ou entidade responsável pela contratação, especialmente para efeito de concessão de diárias e passagens.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Fornecer por escrito as informações necessárias para o desenvolvi</w:t>
      </w:r>
      <w:r>
        <w:rPr>
          <w:rFonts w:ascii="Times New Roman" w:eastAsia="Times New Roman" w:hAnsi="Times New Roman" w:cs="Times New Roman"/>
          <w:sz w:val="24"/>
        </w:rPr>
        <w:t>mento dos serviços objeto do contrato;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Realizar avaliações periódicas da qualidade dos serviços, após seu recebimento;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Assegurar que o ambiente de trabalho, inclusive seus equipamentos e instalações, apresentem condições adequadas ao cumprimento, pela contratada, das normas de segurança e saúde no trabalho, quando o serviço for executado em suas dependências, ou em local p</w:t>
      </w:r>
      <w:r>
        <w:rPr>
          <w:rFonts w:ascii="Times New Roman" w:eastAsia="Times New Roman" w:hAnsi="Times New Roman" w:cs="Times New Roman"/>
          <w:sz w:val="24"/>
        </w:rPr>
        <w:t>or ela designado.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OBRIGAÇÕES DA CONTRATADA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Executar os serviços conforme especificações deste Termo de Referência e de sua proposta, com a alocação dos empregados necessários ao perfeito cumprimento das cláusulas contratuais, além de fornecer e utilizar os</w:t>
      </w:r>
      <w:r>
        <w:rPr>
          <w:rFonts w:ascii="Times New Roman" w:eastAsia="Times New Roman" w:hAnsi="Times New Roman" w:cs="Times New Roman"/>
          <w:sz w:val="24"/>
        </w:rPr>
        <w:t xml:space="preserve"> materiais e equipamentos, ferramentas e utensílios necessários, na qualidade e quantidade mínimas especificadas neste Termo de Referência e em sua proposta;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Reparar, corrigir, remover ou substituir, às suas expensas, no total ou em parte, no prazo fixado </w:t>
      </w:r>
      <w:r>
        <w:rPr>
          <w:rFonts w:ascii="Times New Roman" w:eastAsia="Times New Roman" w:hAnsi="Times New Roman" w:cs="Times New Roman"/>
          <w:sz w:val="24"/>
        </w:rPr>
        <w:t>pelo fiscal do contrato, os serviços efetuados em que se verificarem vícios, defeitos ou incorreções resultantes da execução ou dos materiais empregados;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Responsabilizar-se pelos vícios e danos decorrentes da execução do objeto, bem como por todo e qualque</w:t>
      </w:r>
      <w:r>
        <w:rPr>
          <w:rFonts w:ascii="Times New Roman" w:eastAsia="Times New Roman" w:hAnsi="Times New Roman" w:cs="Times New Roman"/>
          <w:sz w:val="24"/>
        </w:rPr>
        <w:t xml:space="preserve">r dano causado ao município devendo ressarcir imediatamente a Administração em sua integralidade, ficando a Contratante autorizada a descontar da garantia, </w:t>
      </w:r>
      <w:proofErr w:type="gramStart"/>
      <w:r>
        <w:rPr>
          <w:rFonts w:ascii="Times New Roman" w:eastAsia="Times New Roman" w:hAnsi="Times New Roman" w:cs="Times New Roman"/>
          <w:sz w:val="24"/>
        </w:rPr>
        <w:t>caso exigida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 edital, ou dos pagamentos devidos à Contratada, o valor correspondente aos danos sof</w:t>
      </w:r>
      <w:r>
        <w:rPr>
          <w:rFonts w:ascii="Times New Roman" w:eastAsia="Times New Roman" w:hAnsi="Times New Roman" w:cs="Times New Roman"/>
          <w:sz w:val="24"/>
        </w:rPr>
        <w:t>ridos;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Utilizar empregados habilitados e com conhecimentos básicos dos serviços a serem executados, em conformidade com as normas e determinações em vigor;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Comunicar ao Fiscal do contrato, no prazo de 24 (vinte e quatro) horas, qualquer ocorrência anormal </w:t>
      </w:r>
      <w:r>
        <w:rPr>
          <w:rFonts w:ascii="Times New Roman" w:eastAsia="Times New Roman" w:hAnsi="Times New Roman" w:cs="Times New Roman"/>
          <w:sz w:val="24"/>
        </w:rPr>
        <w:t>ou acidente que se verifique no local dos serviços.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Prestar todo esclarecimento ou informação solicitada pela Contratante ou por seus prepostos, garantindo-lhes o acesso, a qualquer tempo, ao local dos trabalhos, bem como aos documentos relativos à execuçã</w:t>
      </w:r>
      <w:r>
        <w:rPr>
          <w:rFonts w:ascii="Times New Roman" w:eastAsia="Times New Roman" w:hAnsi="Times New Roman" w:cs="Times New Roman"/>
          <w:sz w:val="24"/>
        </w:rPr>
        <w:t>o do empreendimento.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Paralisar, por determinação da Contratante, qualquer atividade que não esteja sendo executada de acordo com a boa técnica ou que ponha em risco a segurança de pessoas ou bens de terceiros.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Promover a guarda, manutenção e vigilância de </w:t>
      </w:r>
      <w:r>
        <w:rPr>
          <w:rFonts w:ascii="Times New Roman" w:eastAsia="Times New Roman" w:hAnsi="Times New Roman" w:cs="Times New Roman"/>
          <w:sz w:val="24"/>
        </w:rPr>
        <w:t>materiais, ferramentas, e tudo o que for necessário à execução dos serviços, durante a vigência do contrato.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Promover a organização técnica e administrativa dos serviços, de modo a conduzi-los eficaz e eficientemente, de acordo com os documentos e especifi</w:t>
      </w:r>
      <w:r>
        <w:rPr>
          <w:rFonts w:ascii="Times New Roman" w:eastAsia="Times New Roman" w:hAnsi="Times New Roman" w:cs="Times New Roman"/>
          <w:sz w:val="24"/>
        </w:rPr>
        <w:t>cações que integram este Termo de Referência, no prazo determinado.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Não permitir a utilização de qualquer trabalho do menor de dezesseis anos, exceto na condição de aprendiz para os maiores de quatorze anos; nem permitir a utilização do trabalho do menor d</w:t>
      </w:r>
      <w:r>
        <w:rPr>
          <w:rFonts w:ascii="Times New Roman" w:eastAsia="Times New Roman" w:hAnsi="Times New Roman" w:cs="Times New Roman"/>
          <w:sz w:val="24"/>
        </w:rPr>
        <w:t>e dezoito anos em trabalho noturno, perigoso ou insalubre;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Manter durante toda a vigência do contrato, em compatibilidade com as obrigações assumidas, todas as condições de habilitação e qualificação exigidas na licitação;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Guardar sigilo sobre todas as inf</w:t>
      </w:r>
      <w:r>
        <w:rPr>
          <w:rFonts w:ascii="Times New Roman" w:eastAsia="Times New Roman" w:hAnsi="Times New Roman" w:cs="Times New Roman"/>
          <w:sz w:val="24"/>
        </w:rPr>
        <w:t>ormações obtidas em decorrência do cumprimento do contrato;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Prestar os serviços dentro dos parâmetros e rotinas estabelecidos, fornecendo todos os materiais, equipamentos e utensílios em quantidade, qualidade e tecnologia adequadas, com a observância às recomendações aceitas pela boa técnica, normas e legislação;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A SUBCONTRATAÇÃO  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120"/>
        <w:ind w:left="716" w:hanging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Não será admitida a subcontratação do objeto licitatório.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ALTERAÇÃO SUBJETIVA</w:t>
      </w:r>
    </w:p>
    <w:p w:rsidR="00701D15" w:rsidRDefault="002C1240">
      <w:pPr>
        <w:numPr>
          <w:ilvl w:val="0"/>
          <w:numId w:val="5"/>
        </w:num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É admissível a fusão, cisão ou incorporação da contratada com/em outra pessoa jurídica, desde que sejam observados pela nova pessoa jurídica todos os requisito</w:t>
      </w:r>
      <w:r>
        <w:rPr>
          <w:rFonts w:ascii="Times New Roman" w:eastAsia="Times New Roman" w:hAnsi="Times New Roman" w:cs="Times New Roman"/>
          <w:sz w:val="24"/>
        </w:rPr>
        <w:t>s de habilitação exigidos na licitação original; sejam mantidas as demais cláusulas e condições do contrato; não haja prejuízo à execução do objeto pactuado e haja a anuência expressa da Administração à continuidade do contrato.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CONTROLE E FISCALIZAÇÃO DA </w:t>
      </w:r>
      <w:r>
        <w:rPr>
          <w:rFonts w:ascii="Times New Roman" w:eastAsia="Times New Roman" w:hAnsi="Times New Roman" w:cs="Times New Roman"/>
          <w:b/>
          <w:sz w:val="24"/>
        </w:rPr>
        <w:t xml:space="preserve">EXECUÇÃO </w:t>
      </w:r>
    </w:p>
    <w:p w:rsidR="00701D15" w:rsidRDefault="002C1240">
      <w:pPr>
        <w:numPr>
          <w:ilvl w:val="0"/>
          <w:numId w:val="5"/>
        </w:numPr>
        <w:spacing w:before="120" w:after="120"/>
        <w:ind w:left="426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fiscalização do contrato, ao verificar que houve </w:t>
      </w:r>
      <w:proofErr w:type="spellStart"/>
      <w:r>
        <w:rPr>
          <w:rFonts w:ascii="Times New Roman" w:eastAsia="Times New Roman" w:hAnsi="Times New Roman" w:cs="Times New Roman"/>
          <w:sz w:val="24"/>
        </w:rPr>
        <w:t>subdimensionamento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produtividade pactuada, sem perda da qualidade na execução do serviço, deverá comunicar à autoridade responsável para que esta promova a adequação contratual à produtividade efetivame</w:t>
      </w:r>
      <w:r>
        <w:rPr>
          <w:rFonts w:ascii="Times New Roman" w:eastAsia="Times New Roman" w:hAnsi="Times New Roman" w:cs="Times New Roman"/>
          <w:sz w:val="24"/>
        </w:rPr>
        <w:t>nte realizada, respeitando-se os limites de alteração dos valores contratuais previstos no § 1º do artigo 65 da Lei nº 8.666, de 1993.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conformidade do material/técnica/equipamento a ser utilizado na execução dos serviços deverá ser verificada juntamente </w:t>
      </w:r>
      <w:r>
        <w:rPr>
          <w:rFonts w:ascii="Times New Roman" w:eastAsia="Times New Roman" w:hAnsi="Times New Roman" w:cs="Times New Roman"/>
          <w:sz w:val="24"/>
        </w:rPr>
        <w:t xml:space="preserve">com o documento da Contratada que contenha a relação detalhada dos mesmos, de acordo com o estabelecido neste Termo de Referência, informando as respectivas quantidades e especificações técnicas, tais como: </w:t>
      </w:r>
      <w:proofErr w:type="gramStart"/>
      <w:r>
        <w:rPr>
          <w:rFonts w:ascii="Times New Roman" w:eastAsia="Times New Roman" w:hAnsi="Times New Roman" w:cs="Times New Roman"/>
          <w:sz w:val="24"/>
        </w:rPr>
        <w:t>marca,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qualidade e forma de uso.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descumprimento</w:t>
      </w:r>
      <w:r>
        <w:rPr>
          <w:rFonts w:ascii="Times New Roman" w:eastAsia="Times New Roman" w:hAnsi="Times New Roman" w:cs="Times New Roman"/>
          <w:sz w:val="24"/>
        </w:rPr>
        <w:t xml:space="preserve"> total ou parcial das obrigações e responsabilidades assumidas pela Contratada ensejará a aplicação de sanções administrativas, previstas neste </w:t>
      </w:r>
      <w:r>
        <w:rPr>
          <w:rFonts w:ascii="Times New Roman" w:eastAsia="Times New Roman" w:hAnsi="Times New Roman" w:cs="Times New Roman"/>
          <w:sz w:val="24"/>
        </w:rPr>
        <w:lastRenderedPageBreak/>
        <w:t>Termo de Referência e na legislação vigente, podendo culminar em rescisão contratual, conforme disposto nos arti</w:t>
      </w:r>
      <w:r>
        <w:rPr>
          <w:rFonts w:ascii="Times New Roman" w:eastAsia="Times New Roman" w:hAnsi="Times New Roman" w:cs="Times New Roman"/>
          <w:sz w:val="24"/>
        </w:rPr>
        <w:t>gos 77 e 87 da Lei nº 8.666, de 1993.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fiscalização técnica dos contratos avaliará constantemente a execução do objeto.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 hipótese alguma, será admitido que a própria CONTRATADA materialize a avaliação de desempenho e qualidade da prestação dos serviços </w:t>
      </w:r>
      <w:r>
        <w:rPr>
          <w:rFonts w:ascii="Times New Roman" w:eastAsia="Times New Roman" w:hAnsi="Times New Roman" w:cs="Times New Roman"/>
          <w:sz w:val="24"/>
        </w:rPr>
        <w:t xml:space="preserve">realizada. 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CONTRATADA poderá apresentar justificativa para a prestação do serviço com menor nível de conformidade, que poderá ser aceita pelo fiscal técnico, desde que comprovada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excepcionalidade da ocorrência, resultante exclusivamente de fatores.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fiscalização de que trata esta cláusula não exclui nem reduz a responsabilidade da CONTRATADA, inclusive perante terceiros, por qualquer irregularidade, ainda que resultante de imperfeições técnicas, vícios redibitórios, ou emprego de material inadequado o</w:t>
      </w:r>
      <w:r>
        <w:rPr>
          <w:rFonts w:ascii="Times New Roman" w:eastAsia="Times New Roman" w:hAnsi="Times New Roman" w:cs="Times New Roman"/>
          <w:sz w:val="24"/>
        </w:rPr>
        <w:t xml:space="preserve">u de qualidade inferior e, na ocorrência desta, não implica </w:t>
      </w:r>
      <w:proofErr w:type="spellStart"/>
      <w:r>
        <w:rPr>
          <w:rFonts w:ascii="Times New Roman" w:eastAsia="Times New Roman" w:hAnsi="Times New Roman" w:cs="Times New Roman"/>
          <w:sz w:val="24"/>
        </w:rPr>
        <w:t>corresponsabilidade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CONTRATANTE ou de seus agentes, gestores e fiscais, de conformidade com o art. 70 da Lei nº 8.666, de 1993. </w:t>
      </w:r>
    </w:p>
    <w:p w:rsidR="00701D15" w:rsidRDefault="002C1240">
      <w:pPr>
        <w:keepNext/>
        <w:keepLines/>
        <w:numPr>
          <w:ilvl w:val="0"/>
          <w:numId w:val="5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PAGAMENTO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emissão da Nota Fiscal/Fatura será precedida do r</w:t>
      </w:r>
      <w:r>
        <w:rPr>
          <w:rFonts w:ascii="Times New Roman" w:eastAsia="Times New Roman" w:hAnsi="Times New Roman" w:cs="Times New Roman"/>
          <w:sz w:val="24"/>
        </w:rPr>
        <w:t>ecebimento definitivo do serviço, conforme este Termo de Referência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pagamento será efetuado pela Contratante no prazo de 30 (trinta) dias, contados do recebimento da Nota Fiscal/Fatura. 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setor competente para </w:t>
      </w:r>
      <w:proofErr w:type="gramStart"/>
      <w:r>
        <w:rPr>
          <w:rFonts w:ascii="Times New Roman" w:eastAsia="Times New Roman" w:hAnsi="Times New Roman" w:cs="Times New Roman"/>
          <w:sz w:val="24"/>
        </w:rPr>
        <w:t>proceder 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pagamento deve verificar se a No</w:t>
      </w:r>
      <w:r>
        <w:rPr>
          <w:rFonts w:ascii="Times New Roman" w:eastAsia="Times New Roman" w:hAnsi="Times New Roman" w:cs="Times New Roman"/>
          <w:sz w:val="24"/>
        </w:rPr>
        <w:t xml:space="preserve">ta Fiscal ou Fatura apresentada expressa os elementos necessários e essenciais do documento, tais como: </w:t>
      </w:r>
    </w:p>
    <w:p w:rsidR="00701D15" w:rsidRDefault="002C1240">
      <w:pPr>
        <w:numPr>
          <w:ilvl w:val="0"/>
          <w:numId w:val="5"/>
        </w:numPr>
        <w:spacing w:before="120" w:after="120"/>
        <w:ind w:left="1922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prazo de validade; </w:t>
      </w:r>
    </w:p>
    <w:p w:rsidR="00701D15" w:rsidRDefault="002C1240">
      <w:pPr>
        <w:numPr>
          <w:ilvl w:val="0"/>
          <w:numId w:val="5"/>
        </w:numPr>
        <w:spacing w:before="120" w:after="120"/>
        <w:ind w:left="1922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data da emissão; </w:t>
      </w:r>
    </w:p>
    <w:p w:rsidR="00701D15" w:rsidRDefault="002C1240">
      <w:pPr>
        <w:numPr>
          <w:ilvl w:val="0"/>
          <w:numId w:val="5"/>
        </w:numPr>
        <w:spacing w:before="120" w:after="120"/>
        <w:ind w:left="1922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dados do contrato e do órgão contratante; </w:t>
      </w:r>
    </w:p>
    <w:p w:rsidR="00701D15" w:rsidRDefault="002C1240">
      <w:pPr>
        <w:numPr>
          <w:ilvl w:val="0"/>
          <w:numId w:val="5"/>
        </w:numPr>
        <w:spacing w:before="120" w:after="120"/>
        <w:ind w:left="1922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período de prestação dos serviços; </w:t>
      </w:r>
    </w:p>
    <w:p w:rsidR="00701D15" w:rsidRDefault="002C1240">
      <w:pPr>
        <w:numPr>
          <w:ilvl w:val="0"/>
          <w:numId w:val="5"/>
        </w:numPr>
        <w:spacing w:before="120" w:after="120"/>
        <w:ind w:left="1922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valor a pagar; e </w:t>
      </w:r>
    </w:p>
    <w:p w:rsidR="00701D15" w:rsidRDefault="002C1240">
      <w:pPr>
        <w:numPr>
          <w:ilvl w:val="0"/>
          <w:numId w:val="5"/>
        </w:numPr>
        <w:spacing w:before="120" w:after="120"/>
        <w:ind w:left="1922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event</w:t>
      </w:r>
      <w:r>
        <w:rPr>
          <w:rFonts w:ascii="Times New Roman" w:eastAsia="Times New Roman" w:hAnsi="Times New Roman" w:cs="Times New Roman"/>
          <w:sz w:val="24"/>
        </w:rPr>
        <w:t>ual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destaque do valor de retenções tributárias cabíveis.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Havendo erro na apresentação da Nota Fiscal/Fatura, ou circunstância que impeça a liquidação da despesa, o pagamento ficará sobrestado até que a Contratada providencie as medidas saneadoras. Nesta hi</w:t>
      </w:r>
      <w:r>
        <w:rPr>
          <w:rFonts w:ascii="Times New Roman" w:eastAsia="Times New Roman" w:hAnsi="Times New Roman" w:cs="Times New Roman"/>
          <w:sz w:val="24"/>
        </w:rPr>
        <w:t>pótese, o prazo para pagamento iniciar-se-á após a comprovação da regularização da situação, não acarretando qualquer ônus para a Contratante;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Será considerada data do pagamento o dia em que constar como emitida a ordem bancária para pagamento.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Não havendo</w:t>
      </w:r>
      <w:r>
        <w:rPr>
          <w:rFonts w:ascii="Times New Roman" w:eastAsia="Times New Roman" w:hAnsi="Times New Roman" w:cs="Times New Roman"/>
          <w:sz w:val="24"/>
        </w:rPr>
        <w:t xml:space="preserve"> regularização ou sendo a defesa considerada improcedente, a contratante deverá comunicar aos órgãos responsáveis pela fiscalização da regularidade fiscal quanto à inadimplência da contratada, bem como quanto à existência de pagamento a ser efetuado, para </w:t>
      </w:r>
      <w:r>
        <w:rPr>
          <w:rFonts w:ascii="Times New Roman" w:eastAsia="Times New Roman" w:hAnsi="Times New Roman" w:cs="Times New Roman"/>
          <w:sz w:val="24"/>
        </w:rPr>
        <w:t xml:space="preserve">que sejam acionados os meios pertinentes e necessários para garantir o recebimento de seus créditos.  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Persistindo a irregularidade, a contratante deverá adotar as medidas necessárias à rescisão contratual nos autos do processo administrativo correspondente, assegurada à </w:t>
      </w:r>
    </w:p>
    <w:p w:rsidR="00701D15" w:rsidRDefault="002C1240">
      <w:pPr>
        <w:numPr>
          <w:ilvl w:val="0"/>
          <w:numId w:val="5"/>
        </w:num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Nos casos de eventuais atrasos de pagamento, desde que a Contratada não tenha concorri</w:t>
      </w:r>
      <w:r>
        <w:rPr>
          <w:rFonts w:ascii="Times New Roman" w:eastAsia="Times New Roman" w:hAnsi="Times New Roman" w:cs="Times New Roman"/>
          <w:sz w:val="24"/>
        </w:rPr>
        <w:t xml:space="preserve">do, de alguma forma, para tanto, o valor devido deverá ser acrescido de atualização financeira, e sua apuração se fará desde a data de seu vencimento até a data do efetivo pagamento, em que os juros de mora serão calculados à taxa de 0,5% (meio por cento) </w:t>
      </w:r>
      <w:r>
        <w:rPr>
          <w:rFonts w:ascii="Times New Roman" w:eastAsia="Times New Roman" w:hAnsi="Times New Roman" w:cs="Times New Roman"/>
          <w:sz w:val="24"/>
        </w:rPr>
        <w:t>ao mês, ou 6% (seis por cento) ao ano, mediante aplicação das seguintes fórmulas:</w:t>
      </w:r>
    </w:p>
    <w:p w:rsidR="00701D15" w:rsidRDefault="002C1240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 = I x N x VP, sendo:</w:t>
      </w:r>
    </w:p>
    <w:p w:rsidR="00701D15" w:rsidRDefault="002C1240">
      <w:pPr>
        <w:tabs>
          <w:tab w:val="left" w:pos="1701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 = Encargos moratórios;</w:t>
      </w:r>
    </w:p>
    <w:p w:rsidR="00701D15" w:rsidRDefault="002C1240">
      <w:pPr>
        <w:tabs>
          <w:tab w:val="left" w:pos="1701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 = Número de dias entre a data prevista para o pagamento e a do efetivo pagamento;</w:t>
      </w:r>
    </w:p>
    <w:p w:rsidR="00701D15" w:rsidRDefault="002C1240">
      <w:pPr>
        <w:tabs>
          <w:tab w:val="left" w:pos="1701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VP = Valor da parcela a ser paga.</w:t>
      </w:r>
    </w:p>
    <w:p w:rsidR="00701D15" w:rsidRDefault="002C1240">
      <w:pPr>
        <w:tabs>
          <w:tab w:val="left" w:pos="1701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= Índice de compensação financeira = </w:t>
      </w:r>
      <w:proofErr w:type="gramStart"/>
      <w:r>
        <w:rPr>
          <w:rFonts w:ascii="Times New Roman" w:eastAsia="Times New Roman" w:hAnsi="Times New Roman" w:cs="Times New Roman"/>
          <w:sz w:val="24"/>
        </w:rPr>
        <w:t>0,</w:t>
      </w:r>
      <w:proofErr w:type="gramEnd"/>
      <w:r>
        <w:rPr>
          <w:rFonts w:ascii="Times New Roman" w:eastAsia="Times New Roman" w:hAnsi="Times New Roman" w:cs="Times New Roman"/>
          <w:sz w:val="24"/>
        </w:rPr>
        <w:t>00016438, assim apurado:</w:t>
      </w:r>
    </w:p>
    <w:tbl>
      <w:tblPr>
        <w:tblW w:w="0" w:type="auto"/>
        <w:tblInd w:w="425" w:type="dxa"/>
        <w:tblCellMar>
          <w:left w:w="10" w:type="dxa"/>
          <w:right w:w="10" w:type="dxa"/>
        </w:tblCellMar>
        <w:tblLook w:val="04A0"/>
      </w:tblPr>
      <w:tblGrid>
        <w:gridCol w:w="2045"/>
        <w:gridCol w:w="435"/>
        <w:gridCol w:w="1199"/>
        <w:gridCol w:w="4616"/>
      </w:tblGrid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D15" w:rsidRDefault="002C1240">
            <w:pPr>
              <w:tabs>
                <w:tab w:val="left" w:pos="1701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 = (TX)</w:t>
            </w:r>
          </w:p>
        </w:tc>
        <w:tc>
          <w:tcPr>
            <w:tcW w:w="4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D15" w:rsidRDefault="002C1240">
            <w:pPr>
              <w:tabs>
                <w:tab w:val="left" w:pos="1701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= 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tabs>
                <w:tab w:val="left" w:pos="1701"/>
              </w:tabs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6 / 100 )</w:t>
            </w:r>
          </w:p>
        </w:tc>
        <w:tc>
          <w:tcPr>
            <w:tcW w:w="48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D15" w:rsidRDefault="002C1240">
            <w:pPr>
              <w:tabs>
                <w:tab w:val="left" w:pos="1701"/>
              </w:tabs>
              <w:spacing w:after="0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=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00016438</w:t>
            </w:r>
          </w:p>
          <w:p w:rsidR="00701D15" w:rsidRDefault="002C1240">
            <w:pPr>
              <w:tabs>
                <w:tab w:val="left" w:pos="1701"/>
              </w:tabs>
              <w:spacing w:after="0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TX = Percentual da taxa anual = 6%</w:t>
            </w:r>
          </w:p>
          <w:p w:rsidR="00701D15" w:rsidRDefault="00701D15">
            <w:pPr>
              <w:tabs>
                <w:tab w:val="left" w:pos="1701"/>
              </w:tabs>
              <w:spacing w:after="0"/>
              <w:ind w:left="742"/>
              <w:jc w:val="both"/>
            </w:pP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D15" w:rsidRDefault="00701D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D15" w:rsidRDefault="00701D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D15" w:rsidRDefault="002C1240">
            <w:pPr>
              <w:tabs>
                <w:tab w:val="left" w:pos="1701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365</w:t>
            </w:r>
          </w:p>
        </w:tc>
        <w:tc>
          <w:tcPr>
            <w:tcW w:w="48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D15" w:rsidRDefault="00701D15">
            <w:pPr>
              <w:rPr>
                <w:rFonts w:ascii="Calibri" w:eastAsia="Calibri" w:hAnsi="Calibri" w:cs="Calibri"/>
              </w:rPr>
            </w:pPr>
          </w:p>
        </w:tc>
      </w:tr>
    </w:tbl>
    <w:p w:rsidR="00701D15" w:rsidRDefault="00701D15">
      <w:pPr>
        <w:spacing w:before="120" w:after="120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keepNext/>
        <w:keepLines/>
        <w:numPr>
          <w:ilvl w:val="0"/>
          <w:numId w:val="6"/>
        </w:numPr>
        <w:spacing w:before="480" w:after="0"/>
        <w:ind w:left="78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DAS SANÇÕES ADMINISTRATIVAS</w:t>
      </w:r>
    </w:p>
    <w:p w:rsidR="00701D15" w:rsidRDefault="002C1240">
      <w:pPr>
        <w:numPr>
          <w:ilvl w:val="0"/>
          <w:numId w:val="6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Comete infração administrativa nos termos da Lei nº 10.520, de 2002, a CONTRATADA que:</w:t>
      </w:r>
    </w:p>
    <w:p w:rsidR="00701D15" w:rsidRDefault="002C1240">
      <w:pPr>
        <w:numPr>
          <w:ilvl w:val="0"/>
          <w:numId w:val="6"/>
        </w:numPr>
        <w:spacing w:before="120" w:after="120"/>
        <w:ind w:left="1224" w:right="-30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falhar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 execução do contrato, pela inexecução, total ou parcial, de quaisquer das obrigações assumidas na contratação;</w:t>
      </w:r>
    </w:p>
    <w:p w:rsidR="00701D15" w:rsidRDefault="002C1240">
      <w:pPr>
        <w:numPr>
          <w:ilvl w:val="0"/>
          <w:numId w:val="6"/>
        </w:numPr>
        <w:spacing w:before="120" w:after="120"/>
        <w:ind w:left="1224" w:right="-30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ensejar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retardamento da execução do objeto;</w:t>
      </w:r>
    </w:p>
    <w:p w:rsidR="00701D15" w:rsidRDefault="002C1240">
      <w:pPr>
        <w:numPr>
          <w:ilvl w:val="0"/>
          <w:numId w:val="6"/>
        </w:numPr>
        <w:spacing w:before="120" w:after="120"/>
        <w:ind w:left="1224" w:right="-30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fraudar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 execução do contrato;</w:t>
      </w:r>
    </w:p>
    <w:p w:rsidR="00701D15" w:rsidRDefault="002C1240">
      <w:pPr>
        <w:numPr>
          <w:ilvl w:val="0"/>
          <w:numId w:val="6"/>
        </w:numPr>
        <w:spacing w:before="120" w:after="120"/>
        <w:ind w:left="1224" w:right="-30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comportar</w:t>
      </w:r>
      <w:proofErr w:type="gramEnd"/>
      <w:r>
        <w:rPr>
          <w:rFonts w:ascii="Times New Roman" w:eastAsia="Times New Roman" w:hAnsi="Times New Roman" w:cs="Times New Roman"/>
          <w:sz w:val="24"/>
        </w:rPr>
        <w:t>-se de modo inidôneo; ou</w:t>
      </w:r>
    </w:p>
    <w:p w:rsidR="00701D15" w:rsidRDefault="002C1240">
      <w:pPr>
        <w:numPr>
          <w:ilvl w:val="0"/>
          <w:numId w:val="6"/>
        </w:numPr>
        <w:spacing w:before="120" w:after="120"/>
        <w:ind w:left="1224" w:right="-30" w:hanging="5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cometer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fraude fiscal.</w:t>
      </w:r>
    </w:p>
    <w:p w:rsidR="00701D15" w:rsidRDefault="002C1240">
      <w:pPr>
        <w:numPr>
          <w:ilvl w:val="0"/>
          <w:numId w:val="6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Pela inexecução </w:t>
      </w:r>
      <w:r>
        <w:rPr>
          <w:rFonts w:ascii="Times New Roman" w:eastAsia="Times New Roman" w:hAnsi="Times New Roman" w:cs="Times New Roman"/>
          <w:sz w:val="24"/>
          <w:u w:val="single"/>
        </w:rPr>
        <w:t>total ou parcial</w:t>
      </w:r>
      <w:r>
        <w:rPr>
          <w:rFonts w:ascii="Times New Roman" w:eastAsia="Times New Roman" w:hAnsi="Times New Roman" w:cs="Times New Roman"/>
          <w:sz w:val="24"/>
        </w:rPr>
        <w:t xml:space="preserve"> do objeto deste contrato, a Administração pode aplicar à CONTRATADA as seguintes sanções:</w:t>
      </w:r>
    </w:p>
    <w:p w:rsidR="00701D15" w:rsidRDefault="002C1240">
      <w:pPr>
        <w:numPr>
          <w:ilvl w:val="0"/>
          <w:numId w:val="6"/>
        </w:numPr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Advertência por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escrito</w:t>
      </w:r>
      <w:r>
        <w:rPr>
          <w:rFonts w:ascii="Times New Roman" w:eastAsia="Times New Roman" w:hAnsi="Times New Roman" w:cs="Times New Roman"/>
          <w:sz w:val="24"/>
        </w:rPr>
        <w:t>, quando do não cum</w:t>
      </w:r>
      <w:r>
        <w:rPr>
          <w:rFonts w:ascii="Times New Roman" w:eastAsia="Times New Roman" w:hAnsi="Times New Roman" w:cs="Times New Roman"/>
          <w:sz w:val="24"/>
        </w:rPr>
        <w:t>primento de quaisquer das obrigações contratuais consideradas faltas leves, assim entendidas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aquelas que não acarretam prejuízos significativos para o serviço contratado;</w:t>
      </w:r>
    </w:p>
    <w:p w:rsidR="00701D15" w:rsidRDefault="002C1240">
      <w:pPr>
        <w:numPr>
          <w:ilvl w:val="0"/>
          <w:numId w:val="6"/>
        </w:numPr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Multa de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701D15" w:rsidRDefault="002C1240">
      <w:pPr>
        <w:numPr>
          <w:ilvl w:val="0"/>
          <w:numId w:val="6"/>
        </w:numPr>
        <w:spacing w:before="120" w:after="12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0,1% (um décimo por cento) até 0,2% (dois décimos por cento) por dia sobre</w:t>
      </w:r>
      <w:r>
        <w:rPr>
          <w:rFonts w:ascii="Times New Roman" w:eastAsia="Times New Roman" w:hAnsi="Times New Roman" w:cs="Times New Roman"/>
          <w:sz w:val="24"/>
        </w:rPr>
        <w:t xml:space="preserve"> o valor adjudicado em caso de atraso na execução dos serviços, limitada a incidência a 15 (quinze) dias. Após o décimo quinto dia e a critério da Administração, no caso de execução com atraso, poderá ocorrer a não-aceitação do objeto, de forma a configura</w:t>
      </w:r>
      <w:r>
        <w:rPr>
          <w:rFonts w:ascii="Times New Roman" w:eastAsia="Times New Roman" w:hAnsi="Times New Roman" w:cs="Times New Roman"/>
          <w:sz w:val="24"/>
        </w:rPr>
        <w:t xml:space="preserve">r, nessa hipótese, inexecução total da obrigação assumida, sem prejuízo da rescisão unilateral da avença; </w:t>
      </w:r>
    </w:p>
    <w:p w:rsidR="00701D15" w:rsidRDefault="002C1240">
      <w:pPr>
        <w:numPr>
          <w:ilvl w:val="0"/>
          <w:numId w:val="6"/>
        </w:numPr>
        <w:spacing w:before="120" w:after="12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0,1% (um décimo por cento) até 10% (dez por cento) sobre o valor adjudicado, em caso de atraso na execução do objeto, por período superior ao previst</w:t>
      </w:r>
      <w:r>
        <w:rPr>
          <w:rFonts w:ascii="Times New Roman" w:eastAsia="Times New Roman" w:hAnsi="Times New Roman" w:cs="Times New Roman"/>
          <w:sz w:val="24"/>
        </w:rPr>
        <w:t>o no subitem acima, ou de inexecução parcial da obrigação assumida;</w:t>
      </w:r>
    </w:p>
    <w:p w:rsidR="00701D15" w:rsidRDefault="002C1240">
      <w:pPr>
        <w:numPr>
          <w:ilvl w:val="0"/>
          <w:numId w:val="6"/>
        </w:numPr>
        <w:spacing w:before="120" w:after="12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0,1% (um décimo por cento) até 15% (quinze por cento) sobre o valor adjudicado, em caso de inexecução total da obrigação assumida;</w:t>
      </w:r>
    </w:p>
    <w:p w:rsidR="00701D15" w:rsidRDefault="002C1240">
      <w:pPr>
        <w:numPr>
          <w:ilvl w:val="0"/>
          <w:numId w:val="6"/>
        </w:numPr>
        <w:spacing w:before="120" w:after="12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0,2% a 3,2% por dia sobre o valor mensal do contrato, conforme detalhamento constante das </w:t>
      </w:r>
      <w:r>
        <w:rPr>
          <w:rFonts w:ascii="Times New Roman" w:eastAsia="Times New Roman" w:hAnsi="Times New Roman" w:cs="Times New Roman"/>
          <w:b/>
          <w:sz w:val="24"/>
        </w:rPr>
        <w:t xml:space="preserve">tabelas 1 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>, abaixo; e</w:t>
      </w:r>
    </w:p>
    <w:p w:rsidR="00701D15" w:rsidRDefault="002C1240">
      <w:pPr>
        <w:numPr>
          <w:ilvl w:val="0"/>
          <w:numId w:val="6"/>
        </w:numPr>
        <w:spacing w:before="120" w:after="12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0,07% (sete centésimos por cento) do valor do contrato por dia de atraso na apresentação ou complementação da garantia (seja para reforço ou </w:t>
      </w:r>
      <w:r>
        <w:rPr>
          <w:rFonts w:ascii="Times New Roman" w:eastAsia="Times New Roman" w:hAnsi="Times New Roman" w:cs="Times New Roman"/>
          <w:sz w:val="24"/>
        </w:rPr>
        <w:t>por ocasião de prorrogação), observado o máximo de 2% (dois por cento). O atraso superior a 25 (vinte e cinco) dias autorizará a Administração CONTRATANTE a promover a rescisão do contrato;</w:t>
      </w:r>
    </w:p>
    <w:p w:rsidR="00701D15" w:rsidRDefault="002C1240">
      <w:pPr>
        <w:numPr>
          <w:ilvl w:val="0"/>
          <w:numId w:val="6"/>
        </w:numPr>
        <w:spacing w:before="120" w:after="12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penalidades de multa decorrentes de fatos diversos serão consid</w:t>
      </w:r>
      <w:r>
        <w:rPr>
          <w:rFonts w:ascii="Times New Roman" w:eastAsia="Times New Roman" w:hAnsi="Times New Roman" w:cs="Times New Roman"/>
          <w:sz w:val="24"/>
        </w:rPr>
        <w:t>eradas independentes entre si.</w:t>
      </w:r>
    </w:p>
    <w:p w:rsidR="00701D15" w:rsidRDefault="002C1240">
      <w:pPr>
        <w:numPr>
          <w:ilvl w:val="0"/>
          <w:numId w:val="6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Suspensão de licitar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 impedimento de contratar</w:t>
      </w:r>
      <w:r>
        <w:rPr>
          <w:rFonts w:ascii="Times New Roman" w:eastAsia="Times New Roman" w:hAnsi="Times New Roman" w:cs="Times New Roman"/>
          <w:sz w:val="24"/>
        </w:rPr>
        <w:t xml:space="preserve"> com o órgão, entidade ou unidade administrativa pela qual a Administração Pública opera e atua concretamente, pelo prazo de até dois anos;</w:t>
      </w:r>
    </w:p>
    <w:p w:rsidR="00701D15" w:rsidRDefault="00701D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7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Sanção de impedimento de licitar e contratar</w:t>
      </w:r>
      <w:r>
        <w:rPr>
          <w:rFonts w:ascii="Times New Roman" w:eastAsia="Times New Roman" w:hAnsi="Times New Roman" w:cs="Times New Roman"/>
          <w:sz w:val="24"/>
        </w:rPr>
        <w:t xml:space="preserve"> com órgãos e entidades da União, Estados e Municípios pelo prazo de até cinco anos.</w:t>
      </w:r>
    </w:p>
    <w:p w:rsidR="00701D15" w:rsidRDefault="00701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01D15" w:rsidRDefault="002C1240">
      <w:pPr>
        <w:numPr>
          <w:ilvl w:val="0"/>
          <w:numId w:val="8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Declaração de inidoneidade para licitar ou contratar</w:t>
      </w:r>
      <w:r>
        <w:rPr>
          <w:rFonts w:ascii="Times New Roman" w:eastAsia="Times New Roman" w:hAnsi="Times New Roman" w:cs="Times New Roman"/>
          <w:sz w:val="24"/>
        </w:rPr>
        <w:t xml:space="preserve"> com a Administração Pública, enquanto perdurarem os motivos determinantes</w:t>
      </w:r>
      <w:r>
        <w:rPr>
          <w:rFonts w:ascii="Times New Roman" w:eastAsia="Times New Roman" w:hAnsi="Times New Roman" w:cs="Times New Roman"/>
          <w:sz w:val="24"/>
        </w:rPr>
        <w:t xml:space="preserve"> da punição ou até que seja promovida a reabilitação perante a própria autoridade que aplicou a penalidade, que será concedida sempre que a Contratada ressarcir a Contratante pelos prejuízos causados; </w:t>
      </w:r>
    </w:p>
    <w:p w:rsidR="00701D15" w:rsidRDefault="002C1240">
      <w:pPr>
        <w:numPr>
          <w:ilvl w:val="0"/>
          <w:numId w:val="8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 Sanção de impedimento de licitar e</w:t>
      </w:r>
      <w:r>
        <w:rPr>
          <w:rFonts w:ascii="Times New Roman" w:eastAsia="Times New Roman" w:hAnsi="Times New Roman" w:cs="Times New Roman"/>
          <w:sz w:val="24"/>
        </w:rPr>
        <w:t xml:space="preserve"> contratar previs</w:t>
      </w:r>
      <w:r>
        <w:rPr>
          <w:rFonts w:ascii="Times New Roman" w:eastAsia="Times New Roman" w:hAnsi="Times New Roman" w:cs="Times New Roman"/>
          <w:sz w:val="24"/>
        </w:rPr>
        <w:t>ta no subitem “iv” também é aplicável em quaisquer das hipóteses previstas como infração administrativa neste Termo de Referência.</w:t>
      </w:r>
    </w:p>
    <w:p w:rsidR="00701D15" w:rsidRDefault="002C1240">
      <w:pPr>
        <w:numPr>
          <w:ilvl w:val="0"/>
          <w:numId w:val="8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As sanções previstas nos subitens “i”, “iii”, “iv” e “v” poderão ser aplicadas à CONTRATADA juntamente com as de multa, desc</w:t>
      </w:r>
      <w:r>
        <w:rPr>
          <w:rFonts w:ascii="Times New Roman" w:eastAsia="Times New Roman" w:hAnsi="Times New Roman" w:cs="Times New Roman"/>
          <w:sz w:val="24"/>
        </w:rPr>
        <w:t>ontando-a dos pagamentos a serem efetuados.</w:t>
      </w:r>
    </w:p>
    <w:p w:rsidR="00701D15" w:rsidRDefault="002C1240">
      <w:pPr>
        <w:numPr>
          <w:ilvl w:val="0"/>
          <w:numId w:val="8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Para efeito de aplicação de multas, às infrações são atribuídos graus, de acordo com as tabelas 1 e </w:t>
      </w:r>
      <w:proofErr w:type="gramStart"/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701D15" w:rsidRDefault="002C1240">
      <w:pPr>
        <w:spacing w:before="120" w:after="120"/>
        <w:ind w:right="-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Tabela 1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3218"/>
        <w:gridCol w:w="5212"/>
      </w:tblGrid>
      <w:tr w:rsidR="00701D1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GRAU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CORRESPONDÊNCIA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0,1% ao dia sobre o valor mensal do contrato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0,4% ao dia sobre o valor mensal do contrato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proofErr w:type="gramEnd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0,8% ao dia sobre o valor mensal do contrato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1,6% ao dia sobre o valor mensal do contrato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3,2% ao dia sobre o valor mensal do contrato</w:t>
            </w:r>
          </w:p>
        </w:tc>
      </w:tr>
    </w:tbl>
    <w:p w:rsidR="00701D15" w:rsidRDefault="002C1240">
      <w:pPr>
        <w:spacing w:before="120" w:after="120"/>
        <w:ind w:right="-3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Tabela 2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2039"/>
        <w:gridCol w:w="4590"/>
        <w:gridCol w:w="1801"/>
      </w:tblGrid>
      <w:tr w:rsidR="00701D1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INFRAÇÃO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GRAU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Permitir situação que crie a possibilidade de causar dano físico, lesão corporal ou conseqüências letais, por ocorrência;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Suspender ou interromper, salvo motivo de força maior ou caso fortuito, os serviços contratuais por dia e por unidade de atendimento;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Manter funcionário sem qualificação para executar os serviços contratados, por empregado e por dia;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Recusar-se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 executar serviço determinado pela fiscalização, por serviço e por dia;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Retirar funcionários ou encarregados do serviço durante o expediente, sem a anuência prévia do CONTRATANTE, por empregado e por dia;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 os itens a seguir, deixar de:</w:t>
            </w:r>
          </w:p>
          <w:p w:rsidR="00701D15" w:rsidRDefault="00701D15">
            <w:pPr>
              <w:spacing w:before="120" w:after="120"/>
              <w:ind w:right="-30"/>
              <w:jc w:val="center"/>
            </w:pP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Registrar e controlar, diariamente, a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assiduidade e a pontualidade de seu pessoal, por funcionário e por dia;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Cumprir determinação formal ou instrução complementar do órgão fiscalizador, por ocorrência;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Substituir empregado que se conduza de modo inconveniente ou não atenda às necessidades do serviço, por funcionário e por dia;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End"/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Cumprir quaisquer dos itens do Edital e seus Anexos não previstos nesta tabela de multas, após reincidência formalmente not</w:t>
            </w:r>
            <w:r>
              <w:rPr>
                <w:rFonts w:ascii="Times New Roman" w:eastAsia="Times New Roman" w:hAnsi="Times New Roman" w:cs="Times New Roman"/>
                <w:sz w:val="24"/>
              </w:rPr>
              <w:t>ificada pelo órgão fiscalizador, por item e por ocorrência;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Indicar e manter durante a execução do contrato os prepostos previstos no edital/contrato;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  <w:tr w:rsidR="00701D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Providenciar treinamento para seus funcionários conforme previsto na relação de obrigações da CONTRATADA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01D15" w:rsidRDefault="002C1240">
            <w:pPr>
              <w:spacing w:before="120" w:after="120"/>
              <w:ind w:right="-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</w:tbl>
    <w:p w:rsidR="00701D15" w:rsidRDefault="002C1240">
      <w:pPr>
        <w:numPr>
          <w:ilvl w:val="0"/>
          <w:numId w:val="9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Também ficam sujeitas às penalidades do art. 87, III e IV da Lei nº 8.666, de 1993, as empresas ou profissionais que:</w:t>
      </w:r>
    </w:p>
    <w:p w:rsidR="00701D15" w:rsidRDefault="002C1240">
      <w:pPr>
        <w:numPr>
          <w:ilvl w:val="0"/>
          <w:numId w:val="9"/>
        </w:numPr>
        <w:spacing w:before="120" w:after="120"/>
        <w:ind w:left="1440" w:right="-30" w:hanging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tenham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sofrido condenação definitiva por praticar, por meio dolosos, fraude fiscal no recolhimento de quaisquer tributos;</w:t>
      </w:r>
    </w:p>
    <w:p w:rsidR="00701D15" w:rsidRDefault="002C1240">
      <w:pPr>
        <w:numPr>
          <w:ilvl w:val="0"/>
          <w:numId w:val="9"/>
        </w:numPr>
        <w:spacing w:before="120" w:after="120"/>
        <w:ind w:left="1440" w:right="-30" w:hanging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tenham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praticado atos ilícitos visando a frustrar os objetivos da licitação;</w:t>
      </w:r>
    </w:p>
    <w:p w:rsidR="00701D15" w:rsidRDefault="002C1240">
      <w:pPr>
        <w:numPr>
          <w:ilvl w:val="0"/>
          <w:numId w:val="9"/>
        </w:numPr>
        <w:spacing w:before="120" w:after="120"/>
        <w:ind w:left="1440" w:right="-30" w:hanging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demonstrem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não possuir idoneidade para contratar com a Ad</w:t>
      </w:r>
      <w:r>
        <w:rPr>
          <w:rFonts w:ascii="Times New Roman" w:eastAsia="Times New Roman" w:hAnsi="Times New Roman" w:cs="Times New Roman"/>
          <w:sz w:val="24"/>
        </w:rPr>
        <w:t xml:space="preserve">ministração em virtude de atos ilícitos praticados. </w:t>
      </w:r>
    </w:p>
    <w:p w:rsidR="00701D15" w:rsidRDefault="002C1240">
      <w:pPr>
        <w:numPr>
          <w:ilvl w:val="0"/>
          <w:numId w:val="9"/>
        </w:numPr>
        <w:spacing w:before="120" w:after="120"/>
        <w:ind w:left="993" w:right="-30" w:hanging="6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 aplicação de qualquer das penalidades previstas realizar-se-á em processo administrativo que assegurará o contraditório e a ampla defesa à CONTRATADA, observando-se o procedimento previsto na Lei nº 8.666, de 1993, e subsidiariamente a Lei nº 9.784, de </w:t>
      </w:r>
      <w:r>
        <w:rPr>
          <w:rFonts w:ascii="Times New Roman" w:eastAsia="Times New Roman" w:hAnsi="Times New Roman" w:cs="Times New Roman"/>
          <w:sz w:val="24"/>
        </w:rPr>
        <w:t>1999.</w:t>
      </w:r>
    </w:p>
    <w:p w:rsidR="00701D15" w:rsidRDefault="002C1240">
      <w:pPr>
        <w:numPr>
          <w:ilvl w:val="0"/>
          <w:numId w:val="9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As multas devidas e/ou prejuízos causados à Contratante serão deduzidos dos valores a serem pagos, ou recolhidos em favor do Município, ou deduzidos da garantia, ou ainda, quando for o caso, serão inscritos na Dívida Ativa da União e cobrados jud</w:t>
      </w:r>
      <w:r>
        <w:rPr>
          <w:rFonts w:ascii="Times New Roman" w:eastAsia="Times New Roman" w:hAnsi="Times New Roman" w:cs="Times New Roman"/>
          <w:sz w:val="24"/>
        </w:rPr>
        <w:t>icialmente.</w:t>
      </w:r>
    </w:p>
    <w:p w:rsidR="00701D15" w:rsidRDefault="002C1240">
      <w:pPr>
        <w:numPr>
          <w:ilvl w:val="0"/>
          <w:numId w:val="9"/>
        </w:numPr>
        <w:spacing w:before="120" w:after="120"/>
        <w:ind w:left="1440" w:right="-3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Caso a Contratante determine, a multa deverá ser recolhida no prazo máximo de 30 (trinta) dias, a contar da data do recebimento da comunicação enviada.</w:t>
      </w:r>
    </w:p>
    <w:p w:rsidR="00701D15" w:rsidRDefault="002C1240">
      <w:pPr>
        <w:numPr>
          <w:ilvl w:val="0"/>
          <w:numId w:val="9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A autoridade competente, na aplicação das sanções, levará em consideração a gravidade da co</w:t>
      </w:r>
      <w:r>
        <w:rPr>
          <w:rFonts w:ascii="Times New Roman" w:eastAsia="Times New Roman" w:hAnsi="Times New Roman" w:cs="Times New Roman"/>
          <w:sz w:val="24"/>
        </w:rPr>
        <w:t>nduta do infrator, o caráter educativo da pena, bem como o dano causado à Administração, observado o princípio da proporcionalidade.</w:t>
      </w:r>
    </w:p>
    <w:p w:rsidR="00701D15" w:rsidRDefault="002C1240">
      <w:pPr>
        <w:numPr>
          <w:ilvl w:val="0"/>
          <w:numId w:val="9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Se, durante o processo de aplicação de penalidade, se houver indícios de prática de infração administrativa tipificada pela</w:t>
      </w:r>
      <w:r>
        <w:rPr>
          <w:rFonts w:ascii="Times New Roman" w:eastAsia="Times New Roman" w:hAnsi="Times New Roman" w:cs="Times New Roman"/>
          <w:sz w:val="24"/>
        </w:rPr>
        <w:t xml:space="preserve"> Lei nº 12.846, de 1º de agosto de 2013, como ato lesivo à administração pública nacional ou estrangeira, cópias do processo administrativo necessárias à apuração da responsabilidade da empresa deverão ser remetidas à autoridade competente, com despacho fu</w:t>
      </w:r>
      <w:r>
        <w:rPr>
          <w:rFonts w:ascii="Times New Roman" w:eastAsia="Times New Roman" w:hAnsi="Times New Roman" w:cs="Times New Roman"/>
          <w:sz w:val="24"/>
        </w:rPr>
        <w:t xml:space="preserve">ndamentado, para ciência e decisão sobre a eventual instauração de investigação preliminar ou Processo </w:t>
      </w:r>
      <w:r>
        <w:rPr>
          <w:rFonts w:ascii="Times New Roman" w:eastAsia="Times New Roman" w:hAnsi="Times New Roman" w:cs="Times New Roman"/>
          <w:b/>
          <w:sz w:val="24"/>
        </w:rPr>
        <w:t xml:space="preserve">Administrativo de Responsabilização - PAR. </w:t>
      </w:r>
    </w:p>
    <w:p w:rsidR="00701D15" w:rsidRDefault="002C1240">
      <w:pPr>
        <w:numPr>
          <w:ilvl w:val="0"/>
          <w:numId w:val="9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apuração e o julgamento das demais infrações administrativas não consideradas como ato lesivo à Administraç</w:t>
      </w:r>
      <w:r>
        <w:rPr>
          <w:rFonts w:ascii="Times New Roman" w:eastAsia="Times New Roman" w:hAnsi="Times New Roman" w:cs="Times New Roman"/>
          <w:sz w:val="24"/>
        </w:rPr>
        <w:t>ão Pública nacional ou estrangeira nos termos da Lei nº 12.846, de 1º de agosto de 2013, seguirão seu rito normal na unidade administrativa.</w:t>
      </w:r>
    </w:p>
    <w:p w:rsidR="00701D15" w:rsidRDefault="002C1240">
      <w:pPr>
        <w:numPr>
          <w:ilvl w:val="0"/>
          <w:numId w:val="9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processamento do PAR não interfere no seguimento regular dos processos administrativos específicos para apuração </w:t>
      </w:r>
      <w:r>
        <w:rPr>
          <w:rFonts w:ascii="Times New Roman" w:eastAsia="Times New Roman" w:hAnsi="Times New Roman" w:cs="Times New Roman"/>
          <w:sz w:val="24"/>
        </w:rPr>
        <w:t xml:space="preserve">da ocorrência de danos e prejuízos à Administração </w:t>
      </w:r>
      <w:proofErr w:type="gramStart"/>
      <w:r>
        <w:rPr>
          <w:rFonts w:ascii="Times New Roman" w:eastAsia="Times New Roman" w:hAnsi="Times New Roman" w:cs="Times New Roman"/>
          <w:sz w:val="24"/>
        </w:rPr>
        <w:t>Pública Municipal resultantes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ato lesivo cometido por pessoa jurídica, com ou sem a participação de agente público. </w:t>
      </w:r>
    </w:p>
    <w:p w:rsidR="00701D15" w:rsidRDefault="002C1240">
      <w:pPr>
        <w:numPr>
          <w:ilvl w:val="0"/>
          <w:numId w:val="9"/>
        </w:numPr>
        <w:spacing w:before="120" w:after="120"/>
        <w:ind w:left="78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penalidades serão obrigatoriamente levadas </w:t>
      </w:r>
      <w:proofErr w:type="gramStart"/>
      <w:r>
        <w:rPr>
          <w:rFonts w:ascii="Times New Roman" w:eastAsia="Times New Roman" w:hAnsi="Times New Roman" w:cs="Times New Roman"/>
          <w:sz w:val="24"/>
        </w:rPr>
        <w:t>a registro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 Cadastro Nacional de Empr</w:t>
      </w:r>
      <w:r>
        <w:rPr>
          <w:rFonts w:ascii="Times New Roman" w:eastAsia="Times New Roman" w:hAnsi="Times New Roman" w:cs="Times New Roman"/>
          <w:sz w:val="24"/>
        </w:rPr>
        <w:t>esas Inidôneas e Suspensas (CEIS) e remetidas ao Tribunal de Contas do Estado Para Registro.</w:t>
      </w:r>
    </w:p>
    <w:p w:rsidR="00701D15" w:rsidRDefault="00701D15">
      <w:pPr>
        <w:spacing w:before="120" w:after="120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10"/>
        </w:numPr>
        <w:spacing w:before="120" w:after="120"/>
        <w:ind w:left="420" w:right="-3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CRITÉRIOS DE SELEÇÃO DO FORNECEDOR.</w:t>
      </w:r>
    </w:p>
    <w:p w:rsidR="00701D15" w:rsidRDefault="002C1240">
      <w:pPr>
        <w:numPr>
          <w:ilvl w:val="0"/>
          <w:numId w:val="10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As exigências de habilitação jurídica e de regularidade fiscal e trabalhista são as usuais para a generalidade dos objetos, c</w:t>
      </w:r>
      <w:r>
        <w:rPr>
          <w:rFonts w:ascii="Times New Roman" w:eastAsia="Times New Roman" w:hAnsi="Times New Roman" w:cs="Times New Roman"/>
          <w:sz w:val="24"/>
        </w:rPr>
        <w:t>onforme disciplinado no edital.</w:t>
      </w:r>
    </w:p>
    <w:p w:rsidR="00701D15" w:rsidRDefault="002C1240">
      <w:pPr>
        <w:numPr>
          <w:ilvl w:val="0"/>
          <w:numId w:val="10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Os critérios de qualificação econômico-financeira a serem atendidos pelo fornecedor estão previstos no edital.</w:t>
      </w:r>
    </w:p>
    <w:p w:rsidR="00701D15" w:rsidRDefault="002C1240">
      <w:pPr>
        <w:numPr>
          <w:ilvl w:val="0"/>
          <w:numId w:val="10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Os critérios de qualificação técnica a serem atendidos pelo fornecedor serão:</w:t>
      </w:r>
    </w:p>
    <w:p w:rsidR="00701D15" w:rsidRDefault="002C1240">
      <w:pPr>
        <w:numPr>
          <w:ilvl w:val="0"/>
          <w:numId w:val="10"/>
        </w:numPr>
        <w:tabs>
          <w:tab w:val="left" w:pos="1560"/>
        </w:tabs>
        <w:spacing w:after="120"/>
        <w:ind w:left="709" w:right="-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Comprovação de experiência e capacidade técnica para prestação dos serviços, conforme características, quantidades e prazos compatíveis com a execução do objeto a ser contratado, mediante apresentação de atestados fornecidos por pessoas jurídicas de direto</w:t>
      </w:r>
      <w:r>
        <w:rPr>
          <w:rFonts w:ascii="Times New Roman" w:eastAsia="Times New Roman" w:hAnsi="Times New Roman" w:cs="Times New Roman"/>
          <w:sz w:val="24"/>
        </w:rPr>
        <w:t xml:space="preserve"> público ou privado. Somente serão aceitos os testados expedidos após a conclusão do contrato ou se decorrido, pelo menos um ano do início de sua execução;</w:t>
      </w:r>
    </w:p>
    <w:p w:rsidR="00701D15" w:rsidRDefault="00701D15">
      <w:pPr>
        <w:tabs>
          <w:tab w:val="left" w:pos="1560"/>
        </w:tabs>
        <w:spacing w:after="120"/>
        <w:ind w:left="851" w:right="-17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11"/>
        </w:numPr>
        <w:spacing w:after="120"/>
        <w:ind w:left="709" w:right="-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atestado deverá conter a identificação do órgão da Administração Pública ou empresa emitente, a i</w:t>
      </w:r>
      <w:r>
        <w:rPr>
          <w:rFonts w:ascii="Times New Roman" w:eastAsia="Times New Roman" w:hAnsi="Times New Roman" w:cs="Times New Roman"/>
          <w:sz w:val="24"/>
        </w:rPr>
        <w:t xml:space="preserve">dentificação do contrato extinto ou vigente de </w:t>
      </w:r>
      <w:r>
        <w:rPr>
          <w:rFonts w:ascii="Times New Roman" w:eastAsia="Times New Roman" w:hAnsi="Times New Roman" w:cs="Times New Roman"/>
          <w:sz w:val="24"/>
        </w:rPr>
        <w:lastRenderedPageBreak/>
        <w:t>prestação de serviços e a discriminação dos serviços executados e quantitativos de pessoal empregado;</w:t>
      </w:r>
    </w:p>
    <w:p w:rsidR="00701D15" w:rsidRDefault="00701D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12"/>
        </w:numPr>
        <w:spacing w:after="120"/>
        <w:ind w:left="709" w:right="-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atestados emitidos por Pessoas Jurídicas de Direito Público deverão ser apresentados em papel timbrado,</w:t>
      </w:r>
      <w:r>
        <w:rPr>
          <w:rFonts w:ascii="Times New Roman" w:eastAsia="Times New Roman" w:hAnsi="Times New Roman" w:cs="Times New Roman"/>
          <w:sz w:val="24"/>
        </w:rPr>
        <w:t xml:space="preserve"> contento cargo e matrícula do seu signatário; e</w:t>
      </w:r>
    </w:p>
    <w:p w:rsidR="00701D15" w:rsidRDefault="00701D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13"/>
        </w:numPr>
        <w:spacing w:after="120"/>
        <w:ind w:left="709" w:right="-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atestados emitidos por Pessoas Jurídicas de Direito Privado deverão ser acompanhados de documentos comprobatórios de aptidão do signatário para responder pela empresa e/ou sociedade.</w:t>
      </w:r>
    </w:p>
    <w:p w:rsidR="00701D15" w:rsidRDefault="00701D15">
      <w:pPr>
        <w:spacing w:after="120"/>
        <w:ind w:left="780" w:right="-17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14"/>
        </w:numPr>
        <w:spacing w:before="120" w:after="120"/>
        <w:ind w:left="420" w:right="-3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ESTIMATIVA DE PREÇOS E PREÇOS REFERENCIAIS.</w:t>
      </w:r>
    </w:p>
    <w:p w:rsidR="00701D15" w:rsidRDefault="002C1240">
      <w:pPr>
        <w:numPr>
          <w:ilvl w:val="0"/>
          <w:numId w:val="14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 critério de julgamento da proposta é o menor preço global</w:t>
      </w:r>
    </w:p>
    <w:p w:rsidR="00701D15" w:rsidRDefault="002C1240">
      <w:pPr>
        <w:numPr>
          <w:ilvl w:val="0"/>
          <w:numId w:val="14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As regras de desempate entre propostas são as discriminadas no edital </w:t>
      </w:r>
    </w:p>
    <w:p w:rsidR="00701D15" w:rsidRDefault="00701D15">
      <w:pPr>
        <w:spacing w:before="120" w:after="120"/>
        <w:ind w:left="780" w:right="-3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01D15" w:rsidRDefault="002C1240">
      <w:pPr>
        <w:numPr>
          <w:ilvl w:val="0"/>
          <w:numId w:val="15"/>
        </w:numPr>
        <w:spacing w:before="120" w:after="120"/>
        <w:ind w:left="420" w:right="-3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DOS RECURSOS ORÇAMENTÁRIOS.</w:t>
      </w:r>
    </w:p>
    <w:p w:rsidR="00701D15" w:rsidRDefault="00701D15">
      <w:pPr>
        <w:spacing w:before="120" w:after="120"/>
        <w:ind w:left="420" w:right="-3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01D15" w:rsidRDefault="002C1240">
      <w:pPr>
        <w:numPr>
          <w:ilvl w:val="0"/>
          <w:numId w:val="16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Os recursos necessários para a contratação corre</w:t>
      </w:r>
      <w:r>
        <w:rPr>
          <w:rFonts w:ascii="Times New Roman" w:eastAsia="Times New Roman" w:hAnsi="Times New Roman" w:cs="Times New Roman"/>
          <w:sz w:val="24"/>
        </w:rPr>
        <w:t>rão à conta das dotações aprovadas;</w:t>
      </w:r>
    </w:p>
    <w:p w:rsidR="00701D15" w:rsidRDefault="00701D15">
      <w:pPr>
        <w:spacing w:before="120" w:after="120"/>
        <w:ind w:left="780" w:right="-30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17"/>
        </w:numPr>
        <w:spacing w:before="120" w:after="120"/>
        <w:ind w:left="780" w:right="-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As despesas decorrentes desta contratação estão programadas em dotação orçamentária própria, prevista no orçamento do Município, para o exercício de 2021, na classificação abaixo:</w:t>
      </w:r>
    </w:p>
    <w:p w:rsidR="00701D15" w:rsidRDefault="00701D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spacing w:before="120" w:after="120"/>
        <w:ind w:left="426" w:right="-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Programa de Trabalho:</w:t>
      </w:r>
      <w:r>
        <w:rPr>
          <w:rFonts w:ascii="Times New Roman" w:eastAsia="Times New Roman" w:hAnsi="Times New Roman" w:cs="Times New Roman"/>
          <w:sz w:val="24"/>
        </w:rPr>
        <w:t xml:space="preserve"> 27.812.0026.2136</w:t>
      </w:r>
    </w:p>
    <w:p w:rsidR="00701D15" w:rsidRDefault="002C1240">
      <w:pPr>
        <w:spacing w:before="120" w:after="120"/>
        <w:ind w:left="426" w:right="-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Natureza de Despesa:</w:t>
      </w:r>
      <w:r>
        <w:rPr>
          <w:rFonts w:ascii="Times New Roman" w:eastAsia="Times New Roman" w:hAnsi="Times New Roman" w:cs="Times New Roman"/>
          <w:sz w:val="24"/>
        </w:rPr>
        <w:t xml:space="preserve"> 3.3.90.39.00.00</w:t>
      </w:r>
    </w:p>
    <w:p w:rsidR="00701D15" w:rsidRDefault="00701D15">
      <w:pPr>
        <w:spacing w:before="120" w:after="120"/>
        <w:ind w:left="1416" w:right="-30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701D15">
      <w:pPr>
        <w:spacing w:before="120" w:after="120"/>
        <w:ind w:left="1416" w:right="-30"/>
        <w:jc w:val="both"/>
        <w:rPr>
          <w:rFonts w:ascii="Times New Roman" w:eastAsia="Times New Roman" w:hAnsi="Times New Roman" w:cs="Times New Roman"/>
          <w:sz w:val="24"/>
        </w:rPr>
      </w:pPr>
    </w:p>
    <w:p w:rsidR="00701D15" w:rsidRDefault="002C1240">
      <w:pPr>
        <w:numPr>
          <w:ilvl w:val="0"/>
          <w:numId w:val="18"/>
        </w:numPr>
        <w:spacing w:before="120" w:after="120"/>
        <w:ind w:left="420" w:right="-3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DAS DISPOSIÇÕES GERAIS</w:t>
      </w:r>
    </w:p>
    <w:p w:rsidR="00701D15" w:rsidRDefault="00701D15">
      <w:pPr>
        <w:spacing w:before="120" w:after="120"/>
        <w:ind w:left="420" w:right="-3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01D15" w:rsidRDefault="002C1240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17.1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presente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Termo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Referência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(TR)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segue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devidamente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aprovado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pela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autoridade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competente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(ordenador de despesas), por meio de despacho motivado, nos temos </w:t>
      </w:r>
      <w:proofErr w:type="gramStart"/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Resolução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Conjunta CGM/PGM/SEMGOV/SEMPLA de 12 de abril de 2021.</w:t>
      </w:r>
    </w:p>
    <w:sectPr w:rsidR="00701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34A"/>
    <w:multiLevelType w:val="multilevel"/>
    <w:tmpl w:val="9DF41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C5B95"/>
    <w:multiLevelType w:val="multilevel"/>
    <w:tmpl w:val="74183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0420F"/>
    <w:multiLevelType w:val="multilevel"/>
    <w:tmpl w:val="FFD65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D29F5"/>
    <w:multiLevelType w:val="multilevel"/>
    <w:tmpl w:val="9C9EF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F7C4E"/>
    <w:multiLevelType w:val="multilevel"/>
    <w:tmpl w:val="4290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222FC"/>
    <w:multiLevelType w:val="multilevel"/>
    <w:tmpl w:val="8D22B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55EB9"/>
    <w:multiLevelType w:val="multilevel"/>
    <w:tmpl w:val="49DCF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7179E"/>
    <w:multiLevelType w:val="multilevel"/>
    <w:tmpl w:val="7BCEF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A0C63"/>
    <w:multiLevelType w:val="multilevel"/>
    <w:tmpl w:val="D990E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E554E"/>
    <w:multiLevelType w:val="multilevel"/>
    <w:tmpl w:val="BD1EB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C326A7"/>
    <w:multiLevelType w:val="multilevel"/>
    <w:tmpl w:val="3BA69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43CE9"/>
    <w:multiLevelType w:val="multilevel"/>
    <w:tmpl w:val="E6283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A359F"/>
    <w:multiLevelType w:val="multilevel"/>
    <w:tmpl w:val="BF802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57F69"/>
    <w:multiLevelType w:val="multilevel"/>
    <w:tmpl w:val="77C2C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F1063D"/>
    <w:multiLevelType w:val="multilevel"/>
    <w:tmpl w:val="F6304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670307"/>
    <w:multiLevelType w:val="multilevel"/>
    <w:tmpl w:val="BBD68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3D224C"/>
    <w:multiLevelType w:val="multilevel"/>
    <w:tmpl w:val="06FC3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8C09EE"/>
    <w:multiLevelType w:val="multilevel"/>
    <w:tmpl w:val="CD1A0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6"/>
  </w:num>
  <w:num w:numId="14">
    <w:abstractNumId w:val="11"/>
  </w:num>
  <w:num w:numId="15">
    <w:abstractNumId w:val="8"/>
  </w:num>
  <w:num w:numId="16">
    <w:abstractNumId w:val="4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1D15"/>
    <w:rsid w:val="002C1240"/>
    <w:rsid w:val="0070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4220</Words>
  <Characters>22793</Characters>
  <Application>Microsoft Office Word</Application>
  <DocSecurity>0</DocSecurity>
  <Lines>189</Lines>
  <Paragraphs>53</Paragraphs>
  <ScaleCrop>false</ScaleCrop>
  <Company/>
  <LinksUpToDate>false</LinksUpToDate>
  <CharactersWithSpaces>26960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2022-02-07T16:40:00Z</dcterms:created>
  <dcterms:modified xsi:type="dcterms:W3CDTF">2022-02-07T17:09:00Z</dcterms:modified>
</cp:coreProperties>
</file>